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70"/>
        <w:gridCol w:w="1045"/>
      </w:tblGrid>
      <w:tr w:rsidR="00024164" w:rsidRPr="00403D69" w14:paraId="7A19597C" w14:textId="77777777" w:rsidTr="00024164">
        <w:trPr>
          <w:trHeight w:val="276"/>
        </w:trPr>
        <w:tc>
          <w:tcPr>
            <w:tcW w:w="4439" w:type="pct"/>
            <w:vMerge w:val="restart"/>
            <w:shd w:val="clear" w:color="auto" w:fill="auto"/>
            <w:hideMark/>
          </w:tcPr>
          <w:p w14:paraId="31687156" w14:textId="77777777" w:rsidR="00024164" w:rsidRPr="00403D69" w:rsidRDefault="00024164" w:rsidP="00024164">
            <w:pPr>
              <w:jc w:val="center"/>
              <w:rPr>
                <w:rFonts w:ascii="Arial" w:hAnsi="Arial" w:cs="Arial"/>
                <w:b/>
                <w:bCs/>
              </w:rPr>
            </w:pPr>
            <w:r w:rsidRPr="00403D69">
              <w:rPr>
                <w:rFonts w:ascii="Arial" w:hAnsi="Arial" w:cs="Arial"/>
                <w:b/>
                <w:bCs/>
              </w:rPr>
              <w:t>Í   N   D   I   C   E</w:t>
            </w:r>
            <w:bookmarkStart w:id="0" w:name="_GoBack"/>
            <w:bookmarkEnd w:id="0"/>
          </w:p>
        </w:tc>
        <w:tc>
          <w:tcPr>
            <w:tcW w:w="561" w:type="pct"/>
            <w:vMerge w:val="restart"/>
            <w:shd w:val="clear" w:color="auto" w:fill="auto"/>
            <w:hideMark/>
          </w:tcPr>
          <w:p w14:paraId="0ED0C4C4" w14:textId="77777777" w:rsidR="00024164" w:rsidRPr="00403D69" w:rsidRDefault="00024164" w:rsidP="00024164">
            <w:pPr>
              <w:ind w:left="-51"/>
              <w:jc w:val="center"/>
              <w:rPr>
                <w:rFonts w:ascii="Arial" w:hAnsi="Arial" w:cs="Arial"/>
                <w:b/>
              </w:rPr>
            </w:pPr>
            <w:r w:rsidRPr="00403D69">
              <w:rPr>
                <w:rFonts w:ascii="Arial" w:hAnsi="Arial" w:cs="Arial"/>
                <w:b/>
              </w:rPr>
              <w:t>PÁGINA</w:t>
            </w:r>
          </w:p>
        </w:tc>
      </w:tr>
      <w:tr w:rsidR="00024164" w:rsidRPr="00403D69" w14:paraId="1D230FC4" w14:textId="77777777" w:rsidTr="00024164">
        <w:trPr>
          <w:trHeight w:val="414"/>
        </w:trPr>
        <w:tc>
          <w:tcPr>
            <w:tcW w:w="4439" w:type="pct"/>
            <w:vMerge/>
            <w:shd w:val="clear" w:color="auto" w:fill="auto"/>
            <w:hideMark/>
          </w:tcPr>
          <w:p w14:paraId="398AD26C"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B75420" w14:textId="77777777" w:rsidR="00024164" w:rsidRPr="00403D69" w:rsidRDefault="00024164" w:rsidP="00024164">
            <w:pPr>
              <w:spacing w:line="360" w:lineRule="auto"/>
              <w:jc w:val="center"/>
              <w:rPr>
                <w:rFonts w:ascii="Arial" w:hAnsi="Arial" w:cs="Arial"/>
              </w:rPr>
            </w:pPr>
          </w:p>
        </w:tc>
      </w:tr>
      <w:tr w:rsidR="00024164" w:rsidRPr="00403D69" w14:paraId="36178D60" w14:textId="77777777" w:rsidTr="00024164">
        <w:trPr>
          <w:trHeight w:val="414"/>
        </w:trPr>
        <w:tc>
          <w:tcPr>
            <w:tcW w:w="4439" w:type="pct"/>
            <w:vMerge/>
            <w:shd w:val="clear" w:color="auto" w:fill="auto"/>
            <w:hideMark/>
          </w:tcPr>
          <w:p w14:paraId="65209842"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2E7E15D0" w14:textId="77777777" w:rsidR="00024164" w:rsidRPr="00403D69" w:rsidRDefault="00024164" w:rsidP="00024164">
            <w:pPr>
              <w:spacing w:line="360" w:lineRule="auto"/>
              <w:jc w:val="center"/>
              <w:rPr>
                <w:rFonts w:ascii="Arial" w:hAnsi="Arial" w:cs="Arial"/>
                <w:b/>
              </w:rPr>
            </w:pPr>
          </w:p>
        </w:tc>
      </w:tr>
      <w:tr w:rsidR="00024164" w:rsidRPr="00403D69" w14:paraId="501D9C8B" w14:textId="77777777" w:rsidTr="00024164">
        <w:trPr>
          <w:trHeight w:val="414"/>
        </w:trPr>
        <w:tc>
          <w:tcPr>
            <w:tcW w:w="4439" w:type="pct"/>
            <w:vMerge w:val="restart"/>
            <w:shd w:val="clear" w:color="auto" w:fill="auto"/>
            <w:hideMark/>
          </w:tcPr>
          <w:p w14:paraId="40977A49" w14:textId="77777777" w:rsidR="00024164" w:rsidRDefault="00024164" w:rsidP="00024164">
            <w:pPr>
              <w:spacing w:line="360" w:lineRule="auto"/>
              <w:rPr>
                <w:rFonts w:ascii="Arial" w:hAnsi="Arial" w:cs="Arial"/>
                <w:b/>
                <w:bCs/>
              </w:rPr>
            </w:pPr>
            <w:r w:rsidRPr="00C84572">
              <w:rPr>
                <w:rFonts w:ascii="Arial" w:hAnsi="Arial" w:cs="Arial"/>
                <w:b/>
                <w:bCs/>
              </w:rPr>
              <w:t>INTRODUCCIÓN</w:t>
            </w:r>
          </w:p>
          <w:p w14:paraId="0E3B1744" w14:textId="77777777" w:rsidR="00024164" w:rsidRPr="00C84572" w:rsidRDefault="00024164" w:rsidP="00024164">
            <w:pPr>
              <w:spacing w:line="360" w:lineRule="auto"/>
              <w:rPr>
                <w:rFonts w:ascii="Arial" w:hAnsi="Arial" w:cs="Arial"/>
                <w:b/>
                <w:bCs/>
              </w:rPr>
            </w:pPr>
          </w:p>
        </w:tc>
        <w:tc>
          <w:tcPr>
            <w:tcW w:w="561" w:type="pct"/>
            <w:vMerge w:val="restart"/>
            <w:shd w:val="clear" w:color="auto" w:fill="auto"/>
            <w:hideMark/>
          </w:tcPr>
          <w:p w14:paraId="0BF84FE4" w14:textId="1A33340F" w:rsidR="00024164" w:rsidRPr="00403D69" w:rsidRDefault="00DA72DB" w:rsidP="00024164">
            <w:pPr>
              <w:spacing w:line="360" w:lineRule="auto"/>
              <w:jc w:val="center"/>
              <w:rPr>
                <w:rFonts w:ascii="Arial" w:hAnsi="Arial" w:cs="Arial"/>
                <w:b/>
              </w:rPr>
            </w:pPr>
            <w:r>
              <w:rPr>
                <w:rFonts w:ascii="Arial" w:hAnsi="Arial" w:cs="Arial"/>
                <w:b/>
              </w:rPr>
              <w:t>3</w:t>
            </w:r>
          </w:p>
        </w:tc>
      </w:tr>
      <w:tr w:rsidR="00024164" w:rsidRPr="00403D69" w14:paraId="5A47008A" w14:textId="77777777" w:rsidTr="00024164">
        <w:trPr>
          <w:trHeight w:val="414"/>
        </w:trPr>
        <w:tc>
          <w:tcPr>
            <w:tcW w:w="4439" w:type="pct"/>
            <w:vMerge/>
            <w:shd w:val="clear" w:color="auto" w:fill="auto"/>
            <w:hideMark/>
          </w:tcPr>
          <w:p w14:paraId="1B0B5B9D"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C644B8" w14:textId="77777777" w:rsidR="00024164" w:rsidRPr="00403D69" w:rsidRDefault="00024164" w:rsidP="00024164">
            <w:pPr>
              <w:spacing w:line="360" w:lineRule="auto"/>
              <w:jc w:val="center"/>
              <w:rPr>
                <w:rFonts w:ascii="Arial" w:hAnsi="Arial" w:cs="Arial"/>
                <w:b/>
              </w:rPr>
            </w:pPr>
          </w:p>
        </w:tc>
      </w:tr>
      <w:tr w:rsidR="00024164" w:rsidRPr="00403D69" w14:paraId="48743008" w14:textId="77777777" w:rsidTr="00024164">
        <w:trPr>
          <w:trHeight w:val="414"/>
        </w:trPr>
        <w:tc>
          <w:tcPr>
            <w:tcW w:w="4439" w:type="pct"/>
            <w:vMerge w:val="restart"/>
            <w:shd w:val="clear" w:color="auto" w:fill="auto"/>
            <w:hideMark/>
          </w:tcPr>
          <w:p w14:paraId="70EC82B9" w14:textId="77777777" w:rsidR="00024164" w:rsidRPr="00403D69" w:rsidRDefault="00024164" w:rsidP="00024164">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C5FF62F" w14:textId="10C7541A" w:rsidR="00024164" w:rsidRPr="00403D69" w:rsidRDefault="00024164" w:rsidP="00024164">
            <w:pPr>
              <w:tabs>
                <w:tab w:val="left" w:pos="380"/>
                <w:tab w:val="center" w:pos="455"/>
              </w:tabs>
              <w:spacing w:line="360" w:lineRule="auto"/>
              <w:rPr>
                <w:rFonts w:ascii="Arial" w:hAnsi="Arial" w:cs="Arial"/>
                <w:b/>
              </w:rPr>
            </w:pPr>
            <w:r>
              <w:rPr>
                <w:rFonts w:ascii="Arial" w:hAnsi="Arial" w:cs="Arial"/>
                <w:b/>
              </w:rPr>
              <w:tab/>
            </w:r>
            <w:r w:rsidR="00DA72DB">
              <w:rPr>
                <w:rFonts w:ascii="Arial" w:hAnsi="Arial" w:cs="Arial"/>
                <w:b/>
              </w:rPr>
              <w:t>5</w:t>
            </w:r>
          </w:p>
        </w:tc>
      </w:tr>
      <w:tr w:rsidR="00024164" w:rsidRPr="00403D69" w14:paraId="74786712" w14:textId="77777777" w:rsidTr="00024164">
        <w:trPr>
          <w:trHeight w:val="414"/>
        </w:trPr>
        <w:tc>
          <w:tcPr>
            <w:tcW w:w="4439" w:type="pct"/>
            <w:vMerge/>
            <w:shd w:val="clear" w:color="auto" w:fill="auto"/>
            <w:hideMark/>
          </w:tcPr>
          <w:p w14:paraId="2C637D45"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7FC99C26" w14:textId="77777777" w:rsidR="00024164" w:rsidRPr="00403D69" w:rsidRDefault="00024164" w:rsidP="00024164">
            <w:pPr>
              <w:spacing w:line="360" w:lineRule="auto"/>
              <w:jc w:val="center"/>
              <w:rPr>
                <w:rFonts w:ascii="Arial" w:hAnsi="Arial" w:cs="Arial"/>
                <w:b/>
              </w:rPr>
            </w:pPr>
          </w:p>
        </w:tc>
      </w:tr>
      <w:tr w:rsidR="00024164" w:rsidRPr="00403D69" w14:paraId="48B36A0B" w14:textId="77777777" w:rsidTr="00024164">
        <w:trPr>
          <w:trHeight w:val="414"/>
        </w:trPr>
        <w:tc>
          <w:tcPr>
            <w:tcW w:w="4439" w:type="pct"/>
            <w:vMerge w:val="restart"/>
            <w:shd w:val="clear" w:color="auto" w:fill="auto"/>
            <w:hideMark/>
          </w:tcPr>
          <w:p w14:paraId="4A1714C0" w14:textId="6CA69986" w:rsidR="00024164" w:rsidRPr="00403D69" w:rsidRDefault="00024164" w:rsidP="00024164">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283E349" w14:textId="77777777" w:rsidR="00024164" w:rsidRPr="00403D69" w:rsidRDefault="00024164" w:rsidP="00024164">
            <w:pPr>
              <w:spacing w:line="360" w:lineRule="auto"/>
              <w:jc w:val="center"/>
              <w:rPr>
                <w:rFonts w:ascii="Arial" w:hAnsi="Arial" w:cs="Arial"/>
                <w:b/>
              </w:rPr>
            </w:pPr>
          </w:p>
        </w:tc>
      </w:tr>
      <w:tr w:rsidR="00024164" w:rsidRPr="00403D69" w14:paraId="56FC5448" w14:textId="77777777" w:rsidTr="00024164">
        <w:trPr>
          <w:trHeight w:val="414"/>
        </w:trPr>
        <w:tc>
          <w:tcPr>
            <w:tcW w:w="4439" w:type="pct"/>
            <w:vMerge/>
            <w:shd w:val="clear" w:color="auto" w:fill="auto"/>
            <w:hideMark/>
          </w:tcPr>
          <w:p w14:paraId="25F81206"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38D8247B" w14:textId="77777777" w:rsidR="00024164" w:rsidRPr="00403D69" w:rsidRDefault="00024164" w:rsidP="00024164">
            <w:pPr>
              <w:spacing w:line="360" w:lineRule="auto"/>
              <w:jc w:val="center"/>
              <w:rPr>
                <w:rFonts w:ascii="Arial" w:hAnsi="Arial" w:cs="Arial"/>
                <w:b/>
              </w:rPr>
            </w:pPr>
          </w:p>
        </w:tc>
      </w:tr>
      <w:tr w:rsidR="00024164" w:rsidRPr="00403D69" w14:paraId="510B43EA" w14:textId="77777777" w:rsidTr="00024164">
        <w:trPr>
          <w:trHeight w:val="20"/>
        </w:trPr>
        <w:tc>
          <w:tcPr>
            <w:tcW w:w="4439" w:type="pct"/>
            <w:shd w:val="clear" w:color="auto" w:fill="auto"/>
            <w:hideMark/>
          </w:tcPr>
          <w:p w14:paraId="293A2094" w14:textId="77777777" w:rsidR="00024164" w:rsidRPr="00403D69" w:rsidRDefault="00024164" w:rsidP="00024164">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600A01D" w14:textId="5295B382" w:rsidR="00024164" w:rsidRPr="00403D69" w:rsidRDefault="00DA72DB" w:rsidP="00024164">
            <w:pPr>
              <w:spacing w:line="360" w:lineRule="auto"/>
              <w:jc w:val="center"/>
              <w:rPr>
                <w:rFonts w:ascii="Arial" w:hAnsi="Arial" w:cs="Arial"/>
                <w:b/>
              </w:rPr>
            </w:pPr>
            <w:r>
              <w:rPr>
                <w:rFonts w:ascii="Arial" w:hAnsi="Arial" w:cs="Arial"/>
                <w:b/>
              </w:rPr>
              <w:t>6</w:t>
            </w:r>
          </w:p>
        </w:tc>
      </w:tr>
      <w:bookmarkEnd w:id="1"/>
      <w:tr w:rsidR="00024164" w:rsidRPr="00403D69" w14:paraId="2C586058" w14:textId="77777777" w:rsidTr="00024164">
        <w:trPr>
          <w:trHeight w:val="20"/>
        </w:trPr>
        <w:tc>
          <w:tcPr>
            <w:tcW w:w="4439" w:type="pct"/>
            <w:shd w:val="clear" w:color="auto" w:fill="auto"/>
          </w:tcPr>
          <w:p w14:paraId="38393782"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613455B" w14:textId="5DCCCB1E" w:rsidR="00024164" w:rsidRPr="00403D69" w:rsidRDefault="00DA72DB" w:rsidP="00024164">
            <w:pPr>
              <w:spacing w:line="360" w:lineRule="auto"/>
              <w:jc w:val="center"/>
              <w:rPr>
                <w:rFonts w:ascii="Arial" w:hAnsi="Arial" w:cs="Arial"/>
                <w:b/>
              </w:rPr>
            </w:pPr>
            <w:r>
              <w:rPr>
                <w:rFonts w:ascii="Arial" w:hAnsi="Arial" w:cs="Arial"/>
                <w:b/>
              </w:rPr>
              <w:t>6</w:t>
            </w:r>
          </w:p>
        </w:tc>
      </w:tr>
      <w:tr w:rsidR="00024164" w:rsidRPr="00403D69" w14:paraId="4A1735CF" w14:textId="77777777" w:rsidTr="00024164">
        <w:trPr>
          <w:trHeight w:val="20"/>
        </w:trPr>
        <w:tc>
          <w:tcPr>
            <w:tcW w:w="4439" w:type="pct"/>
            <w:shd w:val="clear" w:color="auto" w:fill="auto"/>
          </w:tcPr>
          <w:p w14:paraId="5574D0DB" w14:textId="77777777" w:rsidR="00024164" w:rsidRPr="00403D69" w:rsidRDefault="00024164" w:rsidP="00024164">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D7D46EF" w14:textId="2B232F1A" w:rsidR="00024164" w:rsidRPr="00403D69" w:rsidRDefault="00DA72DB" w:rsidP="00024164">
            <w:pPr>
              <w:spacing w:line="360" w:lineRule="auto"/>
              <w:jc w:val="center"/>
              <w:rPr>
                <w:rFonts w:ascii="Arial" w:hAnsi="Arial" w:cs="Arial"/>
                <w:b/>
              </w:rPr>
            </w:pPr>
            <w:r>
              <w:rPr>
                <w:rFonts w:ascii="Arial" w:hAnsi="Arial" w:cs="Arial"/>
                <w:b/>
              </w:rPr>
              <w:t>6</w:t>
            </w:r>
          </w:p>
        </w:tc>
      </w:tr>
      <w:tr w:rsidR="00024164" w:rsidRPr="00403D69" w14:paraId="22F965F3" w14:textId="77777777" w:rsidTr="00024164">
        <w:trPr>
          <w:trHeight w:val="20"/>
        </w:trPr>
        <w:tc>
          <w:tcPr>
            <w:tcW w:w="4439" w:type="pct"/>
            <w:shd w:val="clear" w:color="auto" w:fill="auto"/>
          </w:tcPr>
          <w:p w14:paraId="7778311E"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590153D1" w14:textId="08EDA09D" w:rsidR="00024164" w:rsidRPr="00403D69" w:rsidRDefault="00DA72DB" w:rsidP="00024164">
            <w:pPr>
              <w:spacing w:line="360" w:lineRule="auto"/>
              <w:jc w:val="center"/>
              <w:rPr>
                <w:rFonts w:ascii="Arial" w:hAnsi="Arial" w:cs="Arial"/>
                <w:b/>
              </w:rPr>
            </w:pPr>
            <w:r>
              <w:rPr>
                <w:rFonts w:ascii="Arial" w:hAnsi="Arial" w:cs="Arial"/>
                <w:b/>
              </w:rPr>
              <w:t>7</w:t>
            </w:r>
          </w:p>
        </w:tc>
      </w:tr>
      <w:tr w:rsidR="00024164" w:rsidRPr="00403D69" w14:paraId="01912D57" w14:textId="77777777" w:rsidTr="00024164">
        <w:trPr>
          <w:trHeight w:val="20"/>
        </w:trPr>
        <w:tc>
          <w:tcPr>
            <w:tcW w:w="4439" w:type="pct"/>
            <w:shd w:val="clear" w:color="auto" w:fill="auto"/>
          </w:tcPr>
          <w:p w14:paraId="54C8D9C4" w14:textId="77777777" w:rsidR="00024164" w:rsidRPr="00945D64" w:rsidRDefault="00024164" w:rsidP="00024164">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85720C6" w14:textId="4B181613" w:rsidR="00024164" w:rsidRPr="00403D69" w:rsidRDefault="00DA72DB" w:rsidP="00024164">
            <w:pPr>
              <w:spacing w:line="360" w:lineRule="auto"/>
              <w:jc w:val="center"/>
              <w:rPr>
                <w:rFonts w:ascii="Arial" w:hAnsi="Arial" w:cs="Arial"/>
                <w:b/>
              </w:rPr>
            </w:pPr>
            <w:r>
              <w:rPr>
                <w:rFonts w:ascii="Arial" w:hAnsi="Arial" w:cs="Arial"/>
                <w:b/>
              </w:rPr>
              <w:t>7</w:t>
            </w:r>
          </w:p>
        </w:tc>
      </w:tr>
      <w:tr w:rsidR="00024164" w:rsidRPr="00403D69" w14:paraId="6DFF9064" w14:textId="77777777" w:rsidTr="00024164">
        <w:trPr>
          <w:trHeight w:val="20"/>
        </w:trPr>
        <w:tc>
          <w:tcPr>
            <w:tcW w:w="4439" w:type="pct"/>
            <w:shd w:val="clear" w:color="auto" w:fill="auto"/>
          </w:tcPr>
          <w:p w14:paraId="39851B2D"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2706C82" w14:textId="46D052DA" w:rsidR="00024164" w:rsidRPr="00403D69" w:rsidRDefault="00DA72DB" w:rsidP="00024164">
            <w:pPr>
              <w:spacing w:line="360" w:lineRule="auto"/>
              <w:jc w:val="center"/>
              <w:rPr>
                <w:rFonts w:ascii="Arial" w:hAnsi="Arial" w:cs="Arial"/>
                <w:b/>
              </w:rPr>
            </w:pPr>
            <w:r>
              <w:rPr>
                <w:rFonts w:ascii="Arial" w:hAnsi="Arial" w:cs="Arial"/>
                <w:b/>
              </w:rPr>
              <w:t>8</w:t>
            </w:r>
          </w:p>
        </w:tc>
      </w:tr>
      <w:tr w:rsidR="00024164" w:rsidRPr="00403D69" w14:paraId="64D766FA" w14:textId="77777777" w:rsidTr="00024164">
        <w:trPr>
          <w:trHeight w:val="20"/>
        </w:trPr>
        <w:tc>
          <w:tcPr>
            <w:tcW w:w="4439" w:type="pct"/>
            <w:shd w:val="clear" w:color="auto" w:fill="auto"/>
          </w:tcPr>
          <w:p w14:paraId="00532C04" w14:textId="77777777" w:rsidR="00024164" w:rsidRPr="00403D69" w:rsidRDefault="00024164" w:rsidP="00024164">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1CC4749" w14:textId="0D158719" w:rsidR="00024164" w:rsidRPr="00403D69" w:rsidRDefault="00DA72DB" w:rsidP="005F18FE">
            <w:pPr>
              <w:spacing w:line="360" w:lineRule="auto"/>
              <w:jc w:val="center"/>
              <w:rPr>
                <w:rFonts w:ascii="Arial" w:hAnsi="Arial" w:cs="Arial"/>
                <w:b/>
              </w:rPr>
            </w:pPr>
            <w:r>
              <w:rPr>
                <w:rFonts w:ascii="Arial" w:hAnsi="Arial" w:cs="Arial"/>
                <w:b/>
              </w:rPr>
              <w:t>9</w:t>
            </w:r>
          </w:p>
        </w:tc>
      </w:tr>
      <w:tr w:rsidR="00024164" w:rsidRPr="00403D69" w14:paraId="459FA163" w14:textId="77777777" w:rsidTr="00024164">
        <w:trPr>
          <w:trHeight w:val="20"/>
        </w:trPr>
        <w:tc>
          <w:tcPr>
            <w:tcW w:w="4439" w:type="pct"/>
            <w:shd w:val="clear" w:color="auto" w:fill="auto"/>
          </w:tcPr>
          <w:p w14:paraId="36967A84" w14:textId="77777777" w:rsidR="00024164" w:rsidRPr="00373686" w:rsidRDefault="00024164" w:rsidP="00024164">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45E6E302" w14:textId="6580BA7E" w:rsidR="00024164" w:rsidRDefault="00024164" w:rsidP="00024164">
            <w:pPr>
              <w:spacing w:line="360" w:lineRule="auto"/>
              <w:jc w:val="center"/>
              <w:rPr>
                <w:rFonts w:ascii="Arial" w:hAnsi="Arial" w:cs="Arial"/>
                <w:b/>
              </w:rPr>
            </w:pPr>
            <w:r w:rsidRPr="00373686">
              <w:rPr>
                <w:rFonts w:ascii="Arial" w:hAnsi="Arial" w:cs="Arial"/>
                <w:b/>
              </w:rPr>
              <w:t>1</w:t>
            </w:r>
            <w:r w:rsidR="00DA72DB">
              <w:rPr>
                <w:rFonts w:ascii="Arial" w:hAnsi="Arial" w:cs="Arial"/>
                <w:b/>
              </w:rPr>
              <w:t>1</w:t>
            </w:r>
          </w:p>
        </w:tc>
      </w:tr>
      <w:tr w:rsidR="00024164" w:rsidRPr="00403D69" w14:paraId="381B91C6" w14:textId="77777777" w:rsidTr="00024164">
        <w:trPr>
          <w:trHeight w:val="20"/>
        </w:trPr>
        <w:tc>
          <w:tcPr>
            <w:tcW w:w="4439" w:type="pct"/>
            <w:shd w:val="clear" w:color="auto" w:fill="auto"/>
          </w:tcPr>
          <w:p w14:paraId="17FF2EC1" w14:textId="77777777" w:rsidR="00024164" w:rsidRPr="001B3167" w:rsidRDefault="00024164" w:rsidP="00024164">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33B16925" w14:textId="0CB989C2" w:rsidR="00024164" w:rsidRPr="00403D69" w:rsidRDefault="00024164" w:rsidP="00024164">
            <w:pPr>
              <w:spacing w:line="360" w:lineRule="auto"/>
              <w:jc w:val="center"/>
              <w:rPr>
                <w:rFonts w:ascii="Arial" w:hAnsi="Arial" w:cs="Arial"/>
                <w:b/>
              </w:rPr>
            </w:pPr>
            <w:r w:rsidRPr="001B3167">
              <w:rPr>
                <w:rFonts w:ascii="Arial" w:hAnsi="Arial" w:cs="Arial"/>
                <w:b/>
              </w:rPr>
              <w:t>1</w:t>
            </w:r>
            <w:r w:rsidR="00DA72DB">
              <w:rPr>
                <w:rFonts w:ascii="Arial" w:hAnsi="Arial" w:cs="Arial"/>
                <w:b/>
              </w:rPr>
              <w:t>1</w:t>
            </w:r>
          </w:p>
        </w:tc>
      </w:tr>
      <w:tr w:rsidR="00024164" w:rsidRPr="00403D69" w14:paraId="15E68349" w14:textId="77777777" w:rsidTr="00024164">
        <w:trPr>
          <w:trHeight w:val="20"/>
        </w:trPr>
        <w:tc>
          <w:tcPr>
            <w:tcW w:w="4439" w:type="pct"/>
            <w:shd w:val="clear" w:color="auto" w:fill="auto"/>
          </w:tcPr>
          <w:p w14:paraId="14B430E6"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FC4A478" w14:textId="72215464" w:rsidR="00024164" w:rsidRPr="00403D69" w:rsidRDefault="00024164" w:rsidP="00024164">
            <w:pPr>
              <w:spacing w:line="360" w:lineRule="auto"/>
              <w:jc w:val="center"/>
              <w:rPr>
                <w:rFonts w:ascii="Arial" w:hAnsi="Arial" w:cs="Arial"/>
                <w:b/>
              </w:rPr>
            </w:pPr>
            <w:r>
              <w:rPr>
                <w:rFonts w:ascii="Arial" w:hAnsi="Arial" w:cs="Arial"/>
                <w:b/>
              </w:rPr>
              <w:t>1</w:t>
            </w:r>
            <w:r w:rsidR="00DA72DB">
              <w:rPr>
                <w:rFonts w:ascii="Arial" w:hAnsi="Arial" w:cs="Arial"/>
                <w:b/>
              </w:rPr>
              <w:t>2</w:t>
            </w:r>
          </w:p>
        </w:tc>
      </w:tr>
      <w:tr w:rsidR="00024164" w:rsidRPr="00403D69" w14:paraId="526118B9" w14:textId="77777777" w:rsidTr="00024164">
        <w:trPr>
          <w:trHeight w:val="20"/>
        </w:trPr>
        <w:tc>
          <w:tcPr>
            <w:tcW w:w="4439" w:type="pct"/>
            <w:shd w:val="clear" w:color="auto" w:fill="auto"/>
            <w:hideMark/>
          </w:tcPr>
          <w:p w14:paraId="47474C61" w14:textId="77777777" w:rsidR="00024164" w:rsidRPr="00403D69" w:rsidRDefault="00024164" w:rsidP="00024164">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549FC4F" w14:textId="45AE0FC0" w:rsidR="00024164" w:rsidRPr="00403D69" w:rsidRDefault="00024164" w:rsidP="00024164">
            <w:pPr>
              <w:spacing w:line="360" w:lineRule="auto"/>
              <w:jc w:val="center"/>
              <w:rPr>
                <w:rFonts w:ascii="Arial" w:hAnsi="Arial" w:cs="Arial"/>
                <w:b/>
              </w:rPr>
            </w:pPr>
            <w:r>
              <w:rPr>
                <w:rFonts w:ascii="Arial" w:hAnsi="Arial" w:cs="Arial"/>
                <w:b/>
              </w:rPr>
              <w:t>1</w:t>
            </w:r>
            <w:r w:rsidR="00DA72DB">
              <w:rPr>
                <w:rFonts w:ascii="Arial" w:hAnsi="Arial" w:cs="Arial"/>
                <w:b/>
              </w:rPr>
              <w:t>2</w:t>
            </w:r>
          </w:p>
        </w:tc>
      </w:tr>
      <w:tr w:rsidR="00024164" w:rsidRPr="00403D69" w14:paraId="1E9F7973" w14:textId="77777777" w:rsidTr="00024164">
        <w:trPr>
          <w:trHeight w:val="20"/>
        </w:trPr>
        <w:tc>
          <w:tcPr>
            <w:tcW w:w="4439" w:type="pct"/>
            <w:shd w:val="clear" w:color="auto" w:fill="auto"/>
          </w:tcPr>
          <w:p w14:paraId="71FE499F" w14:textId="77777777" w:rsidR="00024164" w:rsidRPr="001B3167" w:rsidRDefault="00024164" w:rsidP="00034220">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35B3F7D" w14:textId="5767205C" w:rsidR="00024164" w:rsidRPr="00403D69" w:rsidRDefault="00024164" w:rsidP="00024164">
            <w:pPr>
              <w:spacing w:line="360" w:lineRule="auto"/>
              <w:jc w:val="center"/>
              <w:rPr>
                <w:rFonts w:ascii="Arial" w:hAnsi="Arial" w:cs="Arial"/>
                <w:b/>
              </w:rPr>
            </w:pPr>
            <w:r w:rsidRPr="001B3167">
              <w:rPr>
                <w:rFonts w:ascii="Arial" w:hAnsi="Arial" w:cs="Arial"/>
                <w:b/>
              </w:rPr>
              <w:t>1</w:t>
            </w:r>
            <w:r w:rsidR="00DA72DB">
              <w:rPr>
                <w:rFonts w:ascii="Arial" w:hAnsi="Arial" w:cs="Arial"/>
                <w:b/>
              </w:rPr>
              <w:t>2</w:t>
            </w:r>
          </w:p>
        </w:tc>
      </w:tr>
      <w:tr w:rsidR="00BE3D4F" w:rsidRPr="00403D69" w14:paraId="5FB581A0" w14:textId="77777777" w:rsidTr="00024164">
        <w:trPr>
          <w:trHeight w:val="20"/>
        </w:trPr>
        <w:tc>
          <w:tcPr>
            <w:tcW w:w="4439" w:type="pct"/>
            <w:shd w:val="clear" w:color="auto" w:fill="auto"/>
          </w:tcPr>
          <w:p w14:paraId="199E0EA9" w14:textId="4DD286F4" w:rsidR="00BE3D4F" w:rsidRPr="00421D4B" w:rsidRDefault="00BE3D4F" w:rsidP="00034220">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5FA5337F" w14:textId="45F435C8" w:rsidR="00BE3D4F" w:rsidRPr="001B3167" w:rsidRDefault="0084192D" w:rsidP="00024164">
            <w:pPr>
              <w:spacing w:line="360" w:lineRule="auto"/>
              <w:jc w:val="center"/>
              <w:rPr>
                <w:rFonts w:ascii="Arial" w:hAnsi="Arial" w:cs="Arial"/>
                <w:b/>
              </w:rPr>
            </w:pPr>
            <w:r>
              <w:rPr>
                <w:rFonts w:ascii="Arial" w:hAnsi="Arial" w:cs="Arial"/>
                <w:b/>
              </w:rPr>
              <w:t>1</w:t>
            </w:r>
            <w:r w:rsidR="00DA72DB">
              <w:rPr>
                <w:rFonts w:ascii="Arial" w:hAnsi="Arial" w:cs="Arial"/>
                <w:b/>
              </w:rPr>
              <w:t>4</w:t>
            </w:r>
          </w:p>
        </w:tc>
      </w:tr>
      <w:tr w:rsidR="00024164" w:rsidRPr="00403D69" w14:paraId="65A5C8F7" w14:textId="77777777" w:rsidTr="00024164">
        <w:trPr>
          <w:trHeight w:val="667"/>
        </w:trPr>
        <w:tc>
          <w:tcPr>
            <w:tcW w:w="4439" w:type="pct"/>
            <w:shd w:val="clear" w:color="auto" w:fill="auto"/>
          </w:tcPr>
          <w:p w14:paraId="5BF4B0DA" w14:textId="2CEA84F4" w:rsidR="00024164" w:rsidRDefault="00024164" w:rsidP="00024164">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553176C2" w14:textId="77777777" w:rsidR="00024164" w:rsidRPr="00403D69" w:rsidRDefault="00024164" w:rsidP="00024164">
            <w:pPr>
              <w:spacing w:line="360" w:lineRule="auto"/>
              <w:jc w:val="center"/>
              <w:rPr>
                <w:rFonts w:ascii="Arial" w:hAnsi="Arial" w:cs="Arial"/>
                <w:b/>
              </w:rPr>
            </w:pPr>
          </w:p>
        </w:tc>
      </w:tr>
      <w:tr w:rsidR="00024164" w:rsidRPr="00403D69" w14:paraId="29DED389" w14:textId="77777777" w:rsidTr="00024164">
        <w:trPr>
          <w:trHeight w:val="690"/>
        </w:trPr>
        <w:tc>
          <w:tcPr>
            <w:tcW w:w="4439" w:type="pct"/>
            <w:shd w:val="clear" w:color="auto" w:fill="auto"/>
          </w:tcPr>
          <w:p w14:paraId="241B996D" w14:textId="77777777" w:rsidR="00024164" w:rsidRDefault="00024164" w:rsidP="00024164">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51D9C170" w14:textId="68EC3279" w:rsidR="00024164" w:rsidRPr="00403D69" w:rsidRDefault="00024164" w:rsidP="0084192D">
            <w:pPr>
              <w:spacing w:line="360" w:lineRule="auto"/>
              <w:jc w:val="center"/>
              <w:rPr>
                <w:rFonts w:ascii="Arial" w:hAnsi="Arial" w:cs="Arial"/>
                <w:b/>
              </w:rPr>
            </w:pPr>
            <w:r>
              <w:rPr>
                <w:rFonts w:ascii="Arial" w:hAnsi="Arial" w:cs="Arial"/>
                <w:b/>
              </w:rPr>
              <w:t>1</w:t>
            </w:r>
            <w:r w:rsidR="00DA72DB">
              <w:rPr>
                <w:rFonts w:ascii="Arial" w:hAnsi="Arial" w:cs="Arial"/>
                <w:b/>
              </w:rPr>
              <w:t>4</w:t>
            </w:r>
          </w:p>
        </w:tc>
      </w:tr>
      <w:tr w:rsidR="00024164" w:rsidRPr="00403D69" w14:paraId="4E051760" w14:textId="77777777" w:rsidTr="00024164">
        <w:trPr>
          <w:trHeight w:val="572"/>
        </w:trPr>
        <w:tc>
          <w:tcPr>
            <w:tcW w:w="4439" w:type="pct"/>
            <w:shd w:val="clear" w:color="auto" w:fill="auto"/>
          </w:tcPr>
          <w:p w14:paraId="6465ED2F"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54909AE" w14:textId="6F710C07" w:rsidR="00024164" w:rsidRPr="00403D69" w:rsidRDefault="00024164" w:rsidP="0084192D">
            <w:pPr>
              <w:spacing w:line="360" w:lineRule="auto"/>
              <w:jc w:val="center"/>
              <w:rPr>
                <w:rFonts w:ascii="Arial" w:hAnsi="Arial" w:cs="Arial"/>
                <w:b/>
              </w:rPr>
            </w:pPr>
            <w:r>
              <w:rPr>
                <w:rFonts w:ascii="Arial" w:hAnsi="Arial" w:cs="Arial"/>
                <w:b/>
              </w:rPr>
              <w:t>1</w:t>
            </w:r>
            <w:r w:rsidR="00DA72DB">
              <w:rPr>
                <w:rFonts w:ascii="Arial" w:hAnsi="Arial" w:cs="Arial"/>
                <w:b/>
              </w:rPr>
              <w:t>4</w:t>
            </w:r>
          </w:p>
        </w:tc>
      </w:tr>
      <w:tr w:rsidR="00024164" w:rsidRPr="00403D69" w14:paraId="31F8D5AC" w14:textId="77777777" w:rsidTr="00024164">
        <w:trPr>
          <w:trHeight w:val="566"/>
        </w:trPr>
        <w:tc>
          <w:tcPr>
            <w:tcW w:w="4439" w:type="pct"/>
            <w:shd w:val="clear" w:color="auto" w:fill="auto"/>
          </w:tcPr>
          <w:p w14:paraId="345E9C6F" w14:textId="77777777" w:rsidR="00024164" w:rsidRPr="00B60639" w:rsidRDefault="00024164" w:rsidP="00024164">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2CA43102" w14:textId="7D37174C" w:rsidR="00024164" w:rsidRPr="00403D69" w:rsidRDefault="00024164" w:rsidP="0084192D">
            <w:pPr>
              <w:spacing w:line="360" w:lineRule="auto"/>
              <w:jc w:val="center"/>
              <w:rPr>
                <w:rFonts w:ascii="Arial" w:hAnsi="Arial" w:cs="Arial"/>
                <w:b/>
              </w:rPr>
            </w:pPr>
            <w:r>
              <w:rPr>
                <w:rFonts w:ascii="Arial" w:hAnsi="Arial" w:cs="Arial"/>
                <w:b/>
              </w:rPr>
              <w:t>1</w:t>
            </w:r>
            <w:r w:rsidR="00DA72DB">
              <w:rPr>
                <w:rFonts w:ascii="Arial" w:hAnsi="Arial" w:cs="Arial"/>
                <w:b/>
              </w:rPr>
              <w:t>4</w:t>
            </w:r>
          </w:p>
        </w:tc>
      </w:tr>
      <w:tr w:rsidR="00024164" w:rsidRPr="00403D69" w14:paraId="36E54487" w14:textId="77777777" w:rsidTr="00024164">
        <w:trPr>
          <w:trHeight w:val="560"/>
        </w:trPr>
        <w:tc>
          <w:tcPr>
            <w:tcW w:w="4439" w:type="pct"/>
            <w:shd w:val="clear" w:color="auto" w:fill="auto"/>
          </w:tcPr>
          <w:p w14:paraId="3229E6F3" w14:textId="77777777" w:rsidR="00024164" w:rsidRDefault="00024164" w:rsidP="00024164">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C8DCC5A" w14:textId="5C01E711" w:rsidR="00024164" w:rsidRPr="00403D69" w:rsidRDefault="00024164" w:rsidP="0084192D">
            <w:pPr>
              <w:spacing w:line="360" w:lineRule="auto"/>
              <w:jc w:val="center"/>
              <w:rPr>
                <w:rFonts w:ascii="Arial" w:hAnsi="Arial" w:cs="Arial"/>
                <w:b/>
              </w:rPr>
            </w:pPr>
            <w:r>
              <w:rPr>
                <w:rFonts w:ascii="Arial" w:hAnsi="Arial" w:cs="Arial"/>
                <w:b/>
              </w:rPr>
              <w:t>1</w:t>
            </w:r>
            <w:r w:rsidR="00DA72DB">
              <w:rPr>
                <w:rFonts w:ascii="Arial" w:hAnsi="Arial" w:cs="Arial"/>
                <w:b/>
              </w:rPr>
              <w:t>5</w:t>
            </w:r>
          </w:p>
        </w:tc>
      </w:tr>
      <w:tr w:rsidR="00024164" w:rsidRPr="00403D69" w14:paraId="140623C8" w14:textId="77777777" w:rsidTr="00024164">
        <w:trPr>
          <w:trHeight w:val="575"/>
        </w:trPr>
        <w:tc>
          <w:tcPr>
            <w:tcW w:w="4439" w:type="pct"/>
            <w:shd w:val="clear" w:color="auto" w:fill="auto"/>
          </w:tcPr>
          <w:p w14:paraId="1482D2DA" w14:textId="77777777" w:rsidR="00024164" w:rsidRDefault="00024164" w:rsidP="00024164">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79DFA692" w14:textId="6A449C14" w:rsidR="00024164" w:rsidRPr="00403D69" w:rsidRDefault="00024164" w:rsidP="0084192D">
            <w:pPr>
              <w:spacing w:line="360" w:lineRule="auto"/>
              <w:jc w:val="center"/>
              <w:rPr>
                <w:rFonts w:ascii="Arial" w:hAnsi="Arial" w:cs="Arial"/>
                <w:b/>
              </w:rPr>
            </w:pPr>
            <w:r>
              <w:rPr>
                <w:rFonts w:ascii="Arial" w:hAnsi="Arial" w:cs="Arial"/>
                <w:b/>
              </w:rPr>
              <w:t>1</w:t>
            </w:r>
            <w:r w:rsidR="00DA72DB">
              <w:rPr>
                <w:rFonts w:ascii="Arial" w:hAnsi="Arial" w:cs="Arial"/>
                <w:b/>
              </w:rPr>
              <w:t>6</w:t>
            </w:r>
          </w:p>
        </w:tc>
      </w:tr>
      <w:tr w:rsidR="00024164" w:rsidRPr="00403D69" w14:paraId="4B3F7C92" w14:textId="77777777" w:rsidTr="00024164">
        <w:trPr>
          <w:trHeight w:val="575"/>
        </w:trPr>
        <w:tc>
          <w:tcPr>
            <w:tcW w:w="4439" w:type="pct"/>
            <w:shd w:val="clear" w:color="auto" w:fill="auto"/>
          </w:tcPr>
          <w:p w14:paraId="4A976322" w14:textId="77777777" w:rsidR="00024164" w:rsidRPr="00403D69" w:rsidRDefault="00024164" w:rsidP="0002416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CC2E106" w14:textId="7BBC9E9D" w:rsidR="00024164" w:rsidRDefault="00024164" w:rsidP="0084192D">
            <w:pPr>
              <w:spacing w:line="360" w:lineRule="auto"/>
              <w:jc w:val="center"/>
              <w:rPr>
                <w:rFonts w:ascii="Arial" w:hAnsi="Arial" w:cs="Arial"/>
                <w:b/>
              </w:rPr>
            </w:pPr>
            <w:r>
              <w:rPr>
                <w:rFonts w:ascii="Arial" w:hAnsi="Arial" w:cs="Arial"/>
                <w:b/>
              </w:rPr>
              <w:t>1</w:t>
            </w:r>
            <w:r w:rsidR="00DA72DB">
              <w:rPr>
                <w:rFonts w:ascii="Arial" w:hAnsi="Arial" w:cs="Arial"/>
                <w:b/>
              </w:rPr>
              <w:t>7</w:t>
            </w:r>
          </w:p>
        </w:tc>
      </w:tr>
      <w:tr w:rsidR="00024164" w:rsidRPr="00403D69" w14:paraId="1B6BB37C" w14:textId="77777777" w:rsidTr="00024164">
        <w:trPr>
          <w:trHeight w:val="568"/>
        </w:trPr>
        <w:tc>
          <w:tcPr>
            <w:tcW w:w="4439" w:type="pct"/>
            <w:shd w:val="clear" w:color="auto" w:fill="auto"/>
          </w:tcPr>
          <w:p w14:paraId="5D9ABB43" w14:textId="77777777" w:rsidR="00024164" w:rsidRDefault="00024164" w:rsidP="0002416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40EEB75" w14:textId="013FD6BE" w:rsidR="00024164" w:rsidRPr="00403D69" w:rsidRDefault="005F18FE" w:rsidP="00024164">
            <w:pPr>
              <w:spacing w:line="360" w:lineRule="auto"/>
              <w:jc w:val="center"/>
              <w:rPr>
                <w:rFonts w:ascii="Arial" w:hAnsi="Arial" w:cs="Arial"/>
                <w:b/>
              </w:rPr>
            </w:pPr>
            <w:r>
              <w:rPr>
                <w:rFonts w:ascii="Arial" w:hAnsi="Arial" w:cs="Arial"/>
                <w:b/>
              </w:rPr>
              <w:t>1</w:t>
            </w:r>
            <w:r w:rsidR="00DA72DB">
              <w:rPr>
                <w:rFonts w:ascii="Arial" w:hAnsi="Arial" w:cs="Arial"/>
                <w:b/>
              </w:rPr>
              <w:t>7</w:t>
            </w:r>
          </w:p>
        </w:tc>
      </w:tr>
      <w:tr w:rsidR="00024164" w:rsidRPr="00403D69" w14:paraId="27B6CCCF" w14:textId="77777777" w:rsidTr="00024164">
        <w:trPr>
          <w:trHeight w:val="563"/>
        </w:trPr>
        <w:tc>
          <w:tcPr>
            <w:tcW w:w="4439" w:type="pct"/>
            <w:shd w:val="clear" w:color="auto" w:fill="auto"/>
          </w:tcPr>
          <w:p w14:paraId="0DD15692" w14:textId="77777777" w:rsidR="00024164" w:rsidRPr="000657CD" w:rsidRDefault="00024164" w:rsidP="0002416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2F2CD32" w14:textId="0BF3530E" w:rsidR="00024164" w:rsidRPr="00403D69" w:rsidRDefault="0084192D" w:rsidP="00024164">
            <w:pPr>
              <w:spacing w:line="360" w:lineRule="auto"/>
              <w:jc w:val="center"/>
              <w:rPr>
                <w:rFonts w:ascii="Arial" w:hAnsi="Arial" w:cs="Arial"/>
                <w:b/>
              </w:rPr>
            </w:pPr>
            <w:r>
              <w:rPr>
                <w:rFonts w:ascii="Arial" w:hAnsi="Arial" w:cs="Arial"/>
                <w:b/>
              </w:rPr>
              <w:t>2</w:t>
            </w:r>
            <w:r w:rsidR="00DA72DB">
              <w:rPr>
                <w:rFonts w:ascii="Arial" w:hAnsi="Arial" w:cs="Arial"/>
                <w:b/>
              </w:rPr>
              <w:t>0</w:t>
            </w:r>
          </w:p>
        </w:tc>
      </w:tr>
      <w:tr w:rsidR="00024164" w:rsidRPr="00403D69" w14:paraId="07298D45" w14:textId="77777777" w:rsidTr="00024164">
        <w:trPr>
          <w:trHeight w:val="557"/>
        </w:trPr>
        <w:tc>
          <w:tcPr>
            <w:tcW w:w="4439" w:type="pct"/>
            <w:shd w:val="clear" w:color="auto" w:fill="auto"/>
          </w:tcPr>
          <w:p w14:paraId="2ADBEC47" w14:textId="77777777" w:rsidR="00024164" w:rsidRPr="001B3167" w:rsidRDefault="00024164" w:rsidP="00024164">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520439C8" w14:textId="64984CFC" w:rsidR="00024164" w:rsidRPr="00403D69" w:rsidRDefault="0084192D" w:rsidP="00A90F50">
            <w:pPr>
              <w:spacing w:line="360" w:lineRule="auto"/>
              <w:jc w:val="center"/>
              <w:rPr>
                <w:rFonts w:ascii="Arial" w:hAnsi="Arial" w:cs="Arial"/>
                <w:b/>
              </w:rPr>
            </w:pPr>
            <w:r>
              <w:rPr>
                <w:rFonts w:ascii="Arial" w:hAnsi="Arial" w:cs="Arial"/>
                <w:b/>
              </w:rPr>
              <w:t>2</w:t>
            </w:r>
            <w:r w:rsidR="00DA72DB">
              <w:rPr>
                <w:rFonts w:ascii="Arial" w:hAnsi="Arial" w:cs="Arial"/>
                <w:b/>
              </w:rPr>
              <w:t>1</w:t>
            </w:r>
          </w:p>
        </w:tc>
      </w:tr>
      <w:tr w:rsidR="00024164" w:rsidRPr="00403D69" w14:paraId="0B7938B2" w14:textId="77777777" w:rsidTr="00024164">
        <w:trPr>
          <w:trHeight w:val="578"/>
        </w:trPr>
        <w:tc>
          <w:tcPr>
            <w:tcW w:w="4439" w:type="pct"/>
            <w:shd w:val="clear" w:color="auto" w:fill="auto"/>
          </w:tcPr>
          <w:p w14:paraId="601D3AD9"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C678C2B" w14:textId="05D98908" w:rsidR="00024164" w:rsidRPr="00403D69" w:rsidRDefault="0084192D" w:rsidP="00024164">
            <w:pPr>
              <w:spacing w:line="360" w:lineRule="auto"/>
              <w:jc w:val="center"/>
              <w:rPr>
                <w:rFonts w:ascii="Arial" w:hAnsi="Arial" w:cs="Arial"/>
                <w:b/>
              </w:rPr>
            </w:pPr>
            <w:r>
              <w:rPr>
                <w:rFonts w:ascii="Arial" w:hAnsi="Arial" w:cs="Arial"/>
                <w:b/>
              </w:rPr>
              <w:t>2</w:t>
            </w:r>
            <w:r w:rsidR="00DA72DB">
              <w:rPr>
                <w:rFonts w:ascii="Arial" w:hAnsi="Arial" w:cs="Arial"/>
                <w:b/>
              </w:rPr>
              <w:t>1</w:t>
            </w:r>
          </w:p>
        </w:tc>
      </w:tr>
      <w:tr w:rsidR="00024164" w:rsidRPr="00403D69" w14:paraId="3B313F8B" w14:textId="77777777" w:rsidTr="00024164">
        <w:trPr>
          <w:trHeight w:val="572"/>
        </w:trPr>
        <w:tc>
          <w:tcPr>
            <w:tcW w:w="4439" w:type="pct"/>
            <w:shd w:val="clear" w:color="auto" w:fill="auto"/>
          </w:tcPr>
          <w:p w14:paraId="4480CDCB" w14:textId="77777777" w:rsidR="00024164" w:rsidRDefault="00024164" w:rsidP="00024164">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C63C961" w14:textId="7010DEE4" w:rsidR="00024164" w:rsidRPr="00403D69" w:rsidRDefault="0084192D" w:rsidP="00024164">
            <w:pPr>
              <w:spacing w:line="360" w:lineRule="auto"/>
              <w:jc w:val="center"/>
              <w:rPr>
                <w:rFonts w:ascii="Arial" w:hAnsi="Arial" w:cs="Arial"/>
                <w:b/>
              </w:rPr>
            </w:pPr>
            <w:r>
              <w:rPr>
                <w:rFonts w:ascii="Arial" w:hAnsi="Arial" w:cs="Arial"/>
                <w:b/>
              </w:rPr>
              <w:t>2</w:t>
            </w:r>
            <w:r w:rsidR="00DA72DB">
              <w:rPr>
                <w:rFonts w:ascii="Arial" w:hAnsi="Arial" w:cs="Arial"/>
                <w:b/>
              </w:rPr>
              <w:t>1</w:t>
            </w:r>
          </w:p>
        </w:tc>
      </w:tr>
      <w:tr w:rsidR="00024164" w:rsidRPr="001B3167" w14:paraId="57AA664B" w14:textId="77777777" w:rsidTr="00024164">
        <w:trPr>
          <w:trHeight w:val="20"/>
        </w:trPr>
        <w:tc>
          <w:tcPr>
            <w:tcW w:w="4439" w:type="pct"/>
            <w:shd w:val="clear" w:color="auto" w:fill="auto"/>
          </w:tcPr>
          <w:p w14:paraId="6B5F7EE7"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99441BA" w14:textId="7F7F7863" w:rsidR="00024164" w:rsidRPr="001B3167" w:rsidRDefault="0084192D" w:rsidP="00B2108D">
            <w:pPr>
              <w:spacing w:line="360" w:lineRule="auto"/>
              <w:jc w:val="center"/>
              <w:rPr>
                <w:rFonts w:ascii="Arial" w:hAnsi="Arial" w:cs="Arial"/>
                <w:b/>
              </w:rPr>
            </w:pPr>
            <w:r>
              <w:rPr>
                <w:rFonts w:ascii="Arial" w:hAnsi="Arial" w:cs="Arial"/>
                <w:b/>
              </w:rPr>
              <w:t>2</w:t>
            </w:r>
            <w:r w:rsidR="00DA72DB">
              <w:rPr>
                <w:rFonts w:ascii="Arial" w:hAnsi="Arial" w:cs="Arial"/>
                <w:b/>
              </w:rPr>
              <w:t>2</w:t>
            </w:r>
          </w:p>
        </w:tc>
      </w:tr>
      <w:tr w:rsidR="00024164" w:rsidRPr="00403D69" w14:paraId="7FC05EA2" w14:textId="77777777" w:rsidTr="00024164">
        <w:trPr>
          <w:trHeight w:val="1261"/>
        </w:trPr>
        <w:tc>
          <w:tcPr>
            <w:tcW w:w="4439" w:type="pct"/>
            <w:shd w:val="clear" w:color="auto" w:fill="auto"/>
          </w:tcPr>
          <w:p w14:paraId="3F233066"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4049B23" w14:textId="2419E9E3" w:rsidR="00024164" w:rsidRPr="00403D69" w:rsidRDefault="0084192D" w:rsidP="00024164">
            <w:pPr>
              <w:spacing w:line="360" w:lineRule="auto"/>
              <w:jc w:val="center"/>
              <w:rPr>
                <w:rFonts w:ascii="Arial" w:hAnsi="Arial" w:cs="Arial"/>
                <w:b/>
              </w:rPr>
            </w:pPr>
            <w:r>
              <w:rPr>
                <w:rFonts w:ascii="Arial" w:hAnsi="Arial" w:cs="Arial"/>
                <w:b/>
              </w:rPr>
              <w:t>2</w:t>
            </w:r>
            <w:r w:rsidR="00DA72DB">
              <w:rPr>
                <w:rFonts w:ascii="Arial" w:hAnsi="Arial" w:cs="Arial"/>
                <w:b/>
              </w:rPr>
              <w:t>4</w:t>
            </w:r>
          </w:p>
        </w:tc>
      </w:tr>
      <w:tr w:rsidR="00024164" w:rsidRPr="00403D69" w14:paraId="69F4CB8C" w14:textId="77777777" w:rsidTr="00024164">
        <w:trPr>
          <w:trHeight w:val="469"/>
        </w:trPr>
        <w:tc>
          <w:tcPr>
            <w:tcW w:w="4439" w:type="pct"/>
            <w:shd w:val="clear" w:color="auto" w:fill="auto"/>
          </w:tcPr>
          <w:p w14:paraId="31B47023" w14:textId="0DE4A454" w:rsidR="00024164" w:rsidRPr="00032EC2" w:rsidRDefault="00024164" w:rsidP="00024164">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61" w:type="pct"/>
            <w:shd w:val="clear" w:color="auto" w:fill="auto"/>
          </w:tcPr>
          <w:p w14:paraId="723EB00D" w14:textId="3D1B9D18" w:rsidR="00024164" w:rsidRPr="00BF5F84" w:rsidRDefault="00024164" w:rsidP="00A90F50">
            <w:pPr>
              <w:jc w:val="center"/>
              <w:rPr>
                <w:rFonts w:ascii="Arial" w:hAnsi="Arial" w:cs="Arial"/>
                <w:b/>
              </w:rPr>
            </w:pPr>
            <w:r>
              <w:rPr>
                <w:rFonts w:ascii="Arial" w:hAnsi="Arial" w:cs="Arial"/>
                <w:b/>
              </w:rPr>
              <w:t>2</w:t>
            </w:r>
            <w:r w:rsidR="00DA72DB">
              <w:rPr>
                <w:rFonts w:ascii="Arial" w:hAnsi="Arial" w:cs="Arial"/>
                <w:b/>
              </w:rPr>
              <w:t>5</w:t>
            </w:r>
          </w:p>
        </w:tc>
      </w:tr>
    </w:tbl>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3754B207" w14:textId="77777777" w:rsidR="00235244" w:rsidRDefault="00235244" w:rsidP="00B73486">
      <w:pPr>
        <w:spacing w:line="360" w:lineRule="auto"/>
        <w:ind w:right="141"/>
        <w:rPr>
          <w:rFonts w:ascii="Arial" w:hAnsi="Arial" w:cs="Arial"/>
          <w:b/>
          <w:bCs/>
        </w:rPr>
      </w:pPr>
      <w:r w:rsidRPr="00A05588">
        <w:rPr>
          <w:rFonts w:ascii="Arial" w:hAnsi="Arial" w:cs="Arial"/>
          <w:b/>
          <w:bCs/>
        </w:rPr>
        <w:lastRenderedPageBreak/>
        <w:t>INTRODUCCIÓN</w:t>
      </w:r>
    </w:p>
    <w:p w14:paraId="473E8598" w14:textId="77777777" w:rsidR="00235244" w:rsidRPr="00A05588" w:rsidRDefault="00235244" w:rsidP="00B73486">
      <w:pPr>
        <w:spacing w:line="360" w:lineRule="auto"/>
        <w:ind w:right="141"/>
        <w:rPr>
          <w:rFonts w:ascii="Arial" w:hAnsi="Arial" w:cs="Arial"/>
          <w:b/>
          <w:bCs/>
        </w:rPr>
      </w:pPr>
    </w:p>
    <w:p w14:paraId="4497E3E5" w14:textId="44E86BA5" w:rsidR="00235244" w:rsidRDefault="00235244" w:rsidP="00B73486">
      <w:pPr>
        <w:spacing w:line="360" w:lineRule="auto"/>
        <w:ind w:right="141"/>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sidR="00D57C7D">
        <w:rPr>
          <w:rFonts w:ascii="Arial" w:hAnsi="Arial" w:cs="Arial"/>
        </w:rPr>
        <w:t>la</w:t>
      </w:r>
      <w:r w:rsidRPr="002013D4">
        <w:rPr>
          <w:rFonts w:ascii="Arial" w:hAnsi="Arial" w:cs="Arial"/>
        </w:rPr>
        <w:t xml:space="preserve"> </w:t>
      </w:r>
      <w:r w:rsidR="00AB2875">
        <w:rPr>
          <w:rFonts w:ascii="Arial" w:hAnsi="Arial" w:cs="Arial"/>
          <w:b/>
        </w:rPr>
        <w:t>Agencia de Proyectos Estratégicos del Estado de Quintana Roo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2013D4" w:rsidRDefault="00235244" w:rsidP="00B73486">
      <w:pPr>
        <w:spacing w:line="360" w:lineRule="auto"/>
        <w:ind w:right="141"/>
        <w:jc w:val="both"/>
        <w:rPr>
          <w:rFonts w:ascii="Arial" w:hAnsi="Arial" w:cs="Arial"/>
        </w:rPr>
      </w:pPr>
    </w:p>
    <w:p w14:paraId="590B8051" w14:textId="7C6E4AA0" w:rsidR="00235244" w:rsidRPr="002013D4" w:rsidRDefault="00235244" w:rsidP="00B73486">
      <w:pPr>
        <w:pStyle w:val="Textoindependiente"/>
        <w:spacing w:line="360" w:lineRule="auto"/>
        <w:ind w:right="141"/>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00445BE4">
        <w:rPr>
          <w:rFonts w:ascii="Arial" w:hAnsi="Arial" w:cs="Arial"/>
        </w:rPr>
        <w:t>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2013D4" w:rsidRDefault="00235244" w:rsidP="00B73486">
      <w:pPr>
        <w:spacing w:line="360" w:lineRule="auto"/>
        <w:ind w:right="141"/>
        <w:jc w:val="both"/>
        <w:rPr>
          <w:rFonts w:ascii="Arial" w:hAnsi="Arial" w:cs="Arial"/>
        </w:rPr>
      </w:pPr>
    </w:p>
    <w:p w14:paraId="0F65F535" w14:textId="3AE189D8" w:rsidR="00235244" w:rsidRPr="00971AFA" w:rsidRDefault="00235244" w:rsidP="00B73486">
      <w:pPr>
        <w:spacing w:line="360" w:lineRule="auto"/>
        <w:ind w:right="141"/>
        <w:jc w:val="both"/>
        <w:rPr>
          <w:rFonts w:ascii="Arial" w:hAnsi="Arial" w:cs="Arial"/>
          <w:b/>
        </w:rPr>
      </w:pPr>
      <w:r w:rsidRPr="002013D4">
        <w:rPr>
          <w:rFonts w:ascii="Arial" w:hAnsi="Arial" w:cs="Arial"/>
          <w:bCs/>
        </w:rPr>
        <w:t>La formulación, revisión y aprobación de la Cuenta Pública de</w:t>
      </w:r>
      <w:r w:rsidR="00D57C7D">
        <w:rPr>
          <w:rFonts w:ascii="Arial" w:hAnsi="Arial" w:cs="Arial"/>
          <w:bCs/>
        </w:rPr>
        <w:t xml:space="preserve"> </w:t>
      </w:r>
      <w:r>
        <w:rPr>
          <w:rFonts w:ascii="Arial" w:hAnsi="Arial" w:cs="Arial"/>
          <w:bCs/>
        </w:rPr>
        <w:t>l</w:t>
      </w:r>
      <w:r w:rsidR="00D57C7D">
        <w:rPr>
          <w:rFonts w:ascii="Arial" w:hAnsi="Arial" w:cs="Arial"/>
          <w:bCs/>
        </w:rPr>
        <w:t>a</w:t>
      </w:r>
      <w:r w:rsidRPr="002013D4">
        <w:rPr>
          <w:rFonts w:ascii="Arial" w:hAnsi="Arial" w:cs="Arial"/>
          <w:bCs/>
        </w:rPr>
        <w:t xml:space="preserve"> </w:t>
      </w:r>
      <w:r w:rsidR="00AB2875">
        <w:rPr>
          <w:rFonts w:ascii="Arial" w:hAnsi="Arial" w:cs="Arial"/>
          <w:b/>
        </w:rPr>
        <w:t>Agencia de Proyectos Estratégicos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557CAB93" w14:textId="77777777" w:rsidR="00235244" w:rsidRPr="00971AFA" w:rsidRDefault="00235244" w:rsidP="00B73486">
      <w:pPr>
        <w:spacing w:line="360" w:lineRule="auto"/>
        <w:ind w:right="141"/>
        <w:jc w:val="both"/>
        <w:rPr>
          <w:rFonts w:ascii="Arial" w:hAnsi="Arial" w:cs="Arial"/>
          <w:bCs/>
        </w:rPr>
      </w:pPr>
    </w:p>
    <w:p w14:paraId="2ACEFE85" w14:textId="236A3CB2" w:rsidR="00235244" w:rsidRPr="00A05588" w:rsidRDefault="00235244" w:rsidP="00B73486">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sidR="00D57C7D">
        <w:rPr>
          <w:rFonts w:ascii="Arial" w:hAnsi="Arial" w:cs="Arial"/>
          <w:bCs/>
        </w:rPr>
        <w:t>la</w:t>
      </w:r>
      <w:r>
        <w:rPr>
          <w:rFonts w:ascii="Arial" w:hAnsi="Arial" w:cs="Arial"/>
          <w:bCs/>
        </w:rPr>
        <w:t xml:space="preserve"> </w:t>
      </w:r>
      <w:r w:rsidR="00AB2875">
        <w:rPr>
          <w:rFonts w:ascii="Arial" w:hAnsi="Arial" w:cs="Arial"/>
          <w:b/>
        </w:rPr>
        <w:t>Agencia de Proyectos Estratégicos del Estado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w:t>
      </w:r>
      <w:r w:rsidR="00445BE4">
        <w:rPr>
          <w:rFonts w:ascii="Arial" w:hAnsi="Arial" w:cs="Arial"/>
          <w:bCs/>
        </w:rPr>
        <w:t>1</w:t>
      </w:r>
      <w:r w:rsidRPr="009879F6">
        <w:rPr>
          <w:rFonts w:ascii="Arial" w:hAnsi="Arial" w:cs="Arial"/>
          <w:bCs/>
        </w:rPr>
        <w:t xml:space="preserve">, así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Default="00235244" w:rsidP="00B73486">
      <w:pPr>
        <w:spacing w:line="360" w:lineRule="auto"/>
        <w:ind w:right="141"/>
        <w:jc w:val="both"/>
        <w:rPr>
          <w:rFonts w:ascii="Arial" w:hAnsi="Arial" w:cs="Arial"/>
          <w:bCs/>
        </w:rPr>
      </w:pPr>
    </w:p>
    <w:p w14:paraId="41780012" w14:textId="0EB57911" w:rsidR="00235244" w:rsidRDefault="00235244" w:rsidP="00B73486">
      <w:pPr>
        <w:spacing w:line="360" w:lineRule="auto"/>
        <w:ind w:right="141"/>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lastRenderedPageBreak/>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sidR="00D57C7D">
        <w:rPr>
          <w:rFonts w:ascii="Arial" w:hAnsi="Arial" w:cs="Arial"/>
          <w:bCs/>
        </w:rPr>
        <w:t xml:space="preserve"> </w:t>
      </w:r>
      <w:r>
        <w:rPr>
          <w:rFonts w:ascii="Arial" w:hAnsi="Arial" w:cs="Arial"/>
          <w:bCs/>
        </w:rPr>
        <w:t>l</w:t>
      </w:r>
      <w:r w:rsidR="00D57C7D">
        <w:rPr>
          <w:rFonts w:ascii="Arial" w:hAnsi="Arial" w:cs="Arial"/>
          <w:bCs/>
        </w:rPr>
        <w:t>a</w:t>
      </w:r>
      <w:r w:rsidRPr="009879F6">
        <w:rPr>
          <w:rFonts w:ascii="Arial" w:hAnsi="Arial" w:cs="Arial"/>
          <w:bCs/>
        </w:rPr>
        <w:t xml:space="preserve"> </w:t>
      </w:r>
      <w:r w:rsidR="00AB2875">
        <w:rPr>
          <w:rFonts w:ascii="Arial" w:hAnsi="Arial" w:cs="Arial"/>
          <w:b/>
        </w:rPr>
        <w:t>Agencia de Proyectos Estratégicos del Estado de Quintana Roo</w:t>
      </w:r>
      <w:r>
        <w:rPr>
          <w:rFonts w:ascii="Arial" w:hAnsi="Arial" w:cs="Arial"/>
          <w:b/>
        </w:rPr>
        <w:t>.</w:t>
      </w:r>
    </w:p>
    <w:p w14:paraId="33A77826" w14:textId="77777777" w:rsidR="00235244" w:rsidRPr="00B92116" w:rsidRDefault="00235244" w:rsidP="00B73486">
      <w:pPr>
        <w:spacing w:line="360" w:lineRule="auto"/>
        <w:ind w:right="141"/>
        <w:jc w:val="both"/>
        <w:rPr>
          <w:rFonts w:ascii="Arial" w:hAnsi="Arial" w:cs="Arial"/>
          <w:bCs/>
        </w:rPr>
      </w:pPr>
    </w:p>
    <w:p w14:paraId="057E1C52" w14:textId="2EDDC86E" w:rsidR="00AB2875" w:rsidRPr="00E56219" w:rsidRDefault="00AB2875" w:rsidP="00B73486">
      <w:pPr>
        <w:spacing w:line="360" w:lineRule="auto"/>
        <w:ind w:right="141"/>
        <w:jc w:val="both"/>
        <w:rPr>
          <w:rFonts w:ascii="Arial" w:hAnsi="Arial" w:cs="Arial"/>
        </w:rPr>
      </w:pPr>
      <w:r w:rsidRPr="00E56219">
        <w:rPr>
          <w:rFonts w:ascii="Arial" w:hAnsi="Arial" w:cs="Arial"/>
        </w:rPr>
        <w:t>En la Cuenta Pública de</w:t>
      </w:r>
      <w:r>
        <w:rPr>
          <w:rFonts w:ascii="Arial" w:hAnsi="Arial" w:cs="Arial"/>
        </w:rPr>
        <w:t xml:space="preserve"> la</w:t>
      </w:r>
      <w:r w:rsidRPr="00E56219">
        <w:rPr>
          <w:rFonts w:ascii="Arial" w:hAnsi="Arial" w:cs="Arial"/>
        </w:rPr>
        <w:t xml:space="preserve"> </w:t>
      </w:r>
      <w:r>
        <w:rPr>
          <w:rFonts w:ascii="Arial" w:hAnsi="Arial" w:cs="Arial"/>
          <w:b/>
          <w:bCs/>
        </w:rPr>
        <w:t>Agencia de Proyectos Estratégicos del Estado de Quintana Roo</w:t>
      </w:r>
      <w:r>
        <w:rPr>
          <w:rFonts w:ascii="Arial" w:hAnsi="Arial" w:cs="Arial"/>
        </w:rPr>
        <w:t xml:space="preserve">, </w:t>
      </w:r>
      <w:r w:rsidRPr="00E56219">
        <w:rPr>
          <w:rFonts w:ascii="Arial" w:hAnsi="Arial" w:cs="Arial"/>
        </w:rPr>
        <w:t xml:space="preserve">correspondiente al ejercicio fiscal </w:t>
      </w:r>
      <w:r>
        <w:rPr>
          <w:rFonts w:ascii="Arial" w:hAnsi="Arial" w:cs="Arial"/>
        </w:rPr>
        <w:t>202</w:t>
      </w:r>
      <w:r w:rsidR="00445BE4">
        <w:rPr>
          <w:rFonts w:ascii="Arial" w:hAnsi="Arial" w:cs="Arial"/>
        </w:rPr>
        <w:t>1</w:t>
      </w:r>
      <w:r w:rsidRPr="00E56219">
        <w:rPr>
          <w:rFonts w:ascii="Arial" w:hAnsi="Arial" w:cs="Arial"/>
        </w:rPr>
        <w:t xml:space="preserve">, se encuentra reflejada la </w:t>
      </w:r>
      <w:r>
        <w:rPr>
          <w:rFonts w:ascii="Arial" w:hAnsi="Arial" w:cs="Arial"/>
        </w:rPr>
        <w:t>obtención de los ingresos y los gastos efectuados</w:t>
      </w:r>
      <w:r w:rsidRPr="00E56219">
        <w:rPr>
          <w:rFonts w:ascii="Arial" w:hAnsi="Arial" w:cs="Arial"/>
        </w:rPr>
        <w:t xml:space="preserve"> </w:t>
      </w:r>
      <w:bookmarkStart w:id="4" w:name="_Hlk14174045"/>
      <w:r>
        <w:rPr>
          <w:rFonts w:ascii="Arial" w:hAnsi="Arial" w:cs="Arial"/>
        </w:rPr>
        <w:t>por</w:t>
      </w:r>
      <w:r w:rsidRPr="00E56219">
        <w:rPr>
          <w:rFonts w:ascii="Arial" w:hAnsi="Arial" w:cs="Arial"/>
        </w:rPr>
        <w:t xml:space="preserve"> </w:t>
      </w:r>
      <w:r w:rsidRPr="00445BE4">
        <w:rPr>
          <w:rFonts w:ascii="Arial" w:hAnsi="Arial" w:cs="Arial"/>
        </w:rPr>
        <w:t>recursos</w:t>
      </w:r>
      <w:bookmarkEnd w:id="4"/>
      <w:r w:rsidRPr="00445BE4">
        <w:rPr>
          <w:rFonts w:ascii="Arial" w:hAnsi="Arial" w:cs="Arial"/>
        </w:rPr>
        <w:t xml:space="preserve"> estatales y propios. La Cuenta Pública fue entregada a la Auditoría Superior del Estado, en fecha </w:t>
      </w:r>
      <w:r w:rsidR="00445BE4" w:rsidRPr="00445BE4">
        <w:rPr>
          <w:rFonts w:ascii="Arial" w:hAnsi="Arial" w:cs="Arial"/>
        </w:rPr>
        <w:t>29</w:t>
      </w:r>
      <w:r w:rsidR="00445BE4" w:rsidRPr="00447D3C">
        <w:rPr>
          <w:rFonts w:ascii="Arial" w:hAnsi="Arial" w:cs="Arial"/>
        </w:rPr>
        <w:t xml:space="preserve"> de abril de 2022, con oficio No. AGEPRO/DDG/0212/III/2022.</w:t>
      </w:r>
    </w:p>
    <w:p w14:paraId="6A20B38D" w14:textId="77777777" w:rsidR="00235244" w:rsidRDefault="00235244" w:rsidP="00B73486">
      <w:pPr>
        <w:tabs>
          <w:tab w:val="left" w:pos="9498"/>
        </w:tabs>
        <w:spacing w:line="360" w:lineRule="auto"/>
        <w:ind w:right="141"/>
        <w:jc w:val="both"/>
        <w:rPr>
          <w:rFonts w:ascii="Arial" w:hAnsi="Arial" w:cs="Arial"/>
          <w:bCs/>
        </w:rPr>
      </w:pPr>
    </w:p>
    <w:p w14:paraId="03952AC0" w14:textId="3CCDAEF8" w:rsidR="00235244" w:rsidRPr="00980F59" w:rsidRDefault="00235244" w:rsidP="00B73486">
      <w:pPr>
        <w:spacing w:line="360" w:lineRule="auto"/>
        <w:ind w:right="141"/>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w:t>
      </w:r>
      <w:r w:rsidRPr="003D6AC4">
        <w:rPr>
          <w:rFonts w:ascii="Arial" w:hAnsi="Arial" w:cs="Arial"/>
          <w:bCs/>
        </w:rPr>
        <w:t xml:space="preserve">fecha </w:t>
      </w:r>
      <w:r w:rsidR="00445BE4" w:rsidRPr="00FB00C3">
        <w:rPr>
          <w:rFonts w:ascii="Arial" w:hAnsi="Arial" w:cs="Arial"/>
          <w:bCs/>
        </w:rPr>
        <w:t>15 de febrero de 2022 mediante acuerdo administrativo, el Programa Anual de Auditorías, Visitas e Inspecciones (PAAVI), correspondiente al año 2022, para la fiscalización superior de la Cuenta Pública 2021</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0C95CB44" w14:textId="77777777" w:rsidR="00235244" w:rsidRDefault="00235244" w:rsidP="00B73486">
      <w:pPr>
        <w:spacing w:line="360" w:lineRule="auto"/>
        <w:ind w:right="141"/>
        <w:jc w:val="both"/>
        <w:rPr>
          <w:rFonts w:ascii="Arial" w:hAnsi="Arial" w:cs="Arial"/>
        </w:rPr>
      </w:pPr>
    </w:p>
    <w:p w14:paraId="6F0C11F6" w14:textId="73B6CF7B" w:rsidR="00235244" w:rsidRPr="00A05588" w:rsidRDefault="00235244" w:rsidP="00B73486">
      <w:pPr>
        <w:spacing w:line="360" w:lineRule="auto"/>
        <w:ind w:right="141"/>
        <w:jc w:val="both"/>
        <w:rPr>
          <w:rFonts w:ascii="Arial" w:hAnsi="Arial" w:cs="Arial"/>
        </w:rPr>
      </w:pPr>
      <w:bookmarkStart w:id="5"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696124">
        <w:rPr>
          <w:rFonts w:ascii="Arial" w:hAnsi="Arial" w:cs="Arial"/>
        </w:rPr>
        <w:t xml:space="preserve"> </w:t>
      </w:r>
      <w:r w:rsidRPr="00EC4C04">
        <w:rPr>
          <w:rFonts w:ascii="Arial" w:hAnsi="Arial" w:cs="Arial"/>
        </w:rPr>
        <w:t xml:space="preserve">16, 17, 19 fracciones I, VI, VII, VIII, XII, XV, XXVI y XXVIII, 22 en su último párrafo, </w:t>
      </w:r>
      <w:r w:rsidR="009F54FE">
        <w:rPr>
          <w:rFonts w:ascii="Arial" w:hAnsi="Arial" w:cs="Arial"/>
        </w:rPr>
        <w:t xml:space="preserve">37, </w:t>
      </w:r>
      <w:r w:rsidRPr="00EC4C04">
        <w:rPr>
          <w:rFonts w:ascii="Arial" w:hAnsi="Arial" w:cs="Arial"/>
        </w:rPr>
        <w:t>38, 40, 41, 42 y 86 fracciones I, XVII, XXII y XXXVI de la Ley de Fiscalización y Rendición de Cuentas del Estado de Quintana Roo</w:t>
      </w:r>
      <w:bookmarkEnd w:id="5"/>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w:t>
      </w:r>
      <w:r w:rsidRPr="004408EB">
        <w:rPr>
          <w:rFonts w:ascii="Arial" w:hAnsi="Arial" w:cs="Arial"/>
        </w:rPr>
        <w:lastRenderedPageBreak/>
        <w:t>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sidR="00D57C7D">
        <w:rPr>
          <w:rFonts w:ascii="Arial" w:hAnsi="Arial" w:cs="Arial"/>
          <w:bCs/>
        </w:rPr>
        <w:t xml:space="preserve"> </w:t>
      </w:r>
      <w:r>
        <w:rPr>
          <w:rFonts w:ascii="Arial" w:hAnsi="Arial" w:cs="Arial"/>
          <w:bCs/>
        </w:rPr>
        <w:t>l</w:t>
      </w:r>
      <w:r w:rsidR="00D57C7D">
        <w:rPr>
          <w:rFonts w:ascii="Arial" w:hAnsi="Arial" w:cs="Arial"/>
          <w:bCs/>
        </w:rPr>
        <w:t>a</w:t>
      </w:r>
      <w:r w:rsidRPr="004408EB">
        <w:rPr>
          <w:rFonts w:ascii="Arial" w:hAnsi="Arial" w:cs="Arial"/>
          <w:bCs/>
        </w:rPr>
        <w:t xml:space="preserve"> </w:t>
      </w:r>
      <w:r w:rsidR="00AB2875">
        <w:rPr>
          <w:rFonts w:ascii="Arial" w:hAnsi="Arial" w:cs="Arial"/>
          <w:b/>
        </w:rPr>
        <w:t>Agencia de Proyectos Estratégicos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sidR="00445BE4">
        <w:rPr>
          <w:rFonts w:ascii="Arial" w:hAnsi="Arial" w:cs="Arial"/>
          <w:bCs/>
        </w:rPr>
        <w:t>2021</w:t>
      </w:r>
      <w:r w:rsidRPr="009879F6">
        <w:rPr>
          <w:rFonts w:ascii="Arial" w:hAnsi="Arial" w:cs="Arial"/>
        </w:rPr>
        <w:t>.</w:t>
      </w:r>
    </w:p>
    <w:p w14:paraId="3D19FCC8" w14:textId="77777777" w:rsidR="00235244" w:rsidRDefault="00235244" w:rsidP="00B73486">
      <w:pPr>
        <w:spacing w:line="360" w:lineRule="auto"/>
        <w:ind w:right="141"/>
        <w:rPr>
          <w:rFonts w:ascii="Arial" w:hAnsi="Arial" w:cs="Arial"/>
          <w:b/>
          <w:bCs/>
        </w:rPr>
      </w:pPr>
    </w:p>
    <w:p w14:paraId="29036C95" w14:textId="77777777" w:rsidR="00235244" w:rsidRPr="00A05588" w:rsidRDefault="00235244" w:rsidP="00B73486">
      <w:pPr>
        <w:spacing w:line="360" w:lineRule="auto"/>
        <w:ind w:right="141"/>
        <w:rPr>
          <w:rFonts w:ascii="Arial" w:hAnsi="Arial" w:cs="Arial"/>
          <w:b/>
          <w:bCs/>
        </w:rPr>
      </w:pPr>
      <w:r w:rsidRPr="00A05588">
        <w:rPr>
          <w:rFonts w:ascii="Arial" w:hAnsi="Arial" w:cs="Arial"/>
          <w:b/>
          <w:bCs/>
        </w:rPr>
        <w:t>ANTECEDENTES DE LA ENTIDAD FISCALIZADA</w:t>
      </w:r>
    </w:p>
    <w:p w14:paraId="03696780" w14:textId="77777777" w:rsidR="00235244" w:rsidRPr="00A05588" w:rsidRDefault="00235244" w:rsidP="00B73486">
      <w:pPr>
        <w:spacing w:line="360" w:lineRule="auto"/>
        <w:ind w:right="141"/>
        <w:rPr>
          <w:rFonts w:ascii="Arial" w:hAnsi="Arial" w:cs="Arial"/>
          <w:b/>
          <w:bCs/>
        </w:rPr>
      </w:pPr>
    </w:p>
    <w:p w14:paraId="7DB44508" w14:textId="77777777" w:rsidR="00235244" w:rsidRDefault="00235244" w:rsidP="00B73486">
      <w:pPr>
        <w:spacing w:line="360" w:lineRule="auto"/>
        <w:ind w:right="141"/>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A05588" w:rsidRDefault="00235244" w:rsidP="00B73486">
      <w:pPr>
        <w:spacing w:line="360" w:lineRule="auto"/>
        <w:ind w:right="141"/>
        <w:jc w:val="both"/>
        <w:rPr>
          <w:rFonts w:ascii="Arial" w:hAnsi="Arial" w:cs="Arial"/>
          <w:b/>
        </w:rPr>
      </w:pPr>
    </w:p>
    <w:p w14:paraId="519CBE2D" w14:textId="21D876CA" w:rsidR="001876B4" w:rsidRDefault="001876B4" w:rsidP="00B73486">
      <w:pPr>
        <w:shd w:val="clear" w:color="auto" w:fill="FFFFFF"/>
        <w:spacing w:line="360" w:lineRule="auto"/>
        <w:ind w:right="141"/>
        <w:jc w:val="both"/>
        <w:rPr>
          <w:rFonts w:ascii="Arial" w:hAnsi="Arial" w:cs="Arial"/>
          <w:color w:val="000000"/>
          <w:lang w:eastAsia="es-MX"/>
        </w:rPr>
      </w:pPr>
      <w:r w:rsidRPr="00023BDB">
        <w:rPr>
          <w:rFonts w:ascii="Arial" w:hAnsi="Arial" w:cs="Arial"/>
          <w:color w:val="000000"/>
          <w:lang w:eastAsia="es-MX"/>
        </w:rPr>
        <w:t>La</w:t>
      </w:r>
      <w:r w:rsidRPr="00023BDB">
        <w:rPr>
          <w:rFonts w:ascii="Arial" w:hAnsi="Arial" w:cs="Arial"/>
          <w:b/>
          <w:color w:val="000000"/>
          <w:lang w:eastAsia="es-MX"/>
        </w:rPr>
        <w:t xml:space="preserve"> Agencia de Proyectos Estratégicos del Estado de Quintana Roo</w:t>
      </w:r>
      <w:r w:rsidRPr="00023BDB">
        <w:rPr>
          <w:rFonts w:ascii="Arial" w:hAnsi="Arial" w:cs="Arial"/>
          <w:color w:val="000000"/>
          <w:lang w:eastAsia="es-MX"/>
        </w:rPr>
        <w:t>, es un organismo</w:t>
      </w:r>
      <w:r>
        <w:rPr>
          <w:rFonts w:ascii="Arial" w:hAnsi="Arial" w:cs="Arial"/>
          <w:color w:val="000000"/>
          <w:lang w:eastAsia="es-MX"/>
        </w:rPr>
        <w:t xml:space="preserve"> público descentralizado de la A</w:t>
      </w:r>
      <w:r w:rsidRPr="00023BDB">
        <w:rPr>
          <w:rFonts w:ascii="Arial" w:hAnsi="Arial" w:cs="Arial"/>
          <w:color w:val="000000"/>
          <w:lang w:eastAsia="es-MX"/>
        </w:rPr>
        <w:t xml:space="preserve">dministración </w:t>
      </w:r>
      <w:r>
        <w:rPr>
          <w:rFonts w:ascii="Arial" w:hAnsi="Arial" w:cs="Arial"/>
          <w:color w:val="000000"/>
          <w:lang w:eastAsia="es-MX"/>
        </w:rPr>
        <w:t>P</w:t>
      </w:r>
      <w:r w:rsidRPr="00023BDB">
        <w:rPr>
          <w:rFonts w:ascii="Arial" w:hAnsi="Arial" w:cs="Arial"/>
          <w:color w:val="000000"/>
          <w:lang w:eastAsia="es-MX"/>
        </w:rPr>
        <w:t xml:space="preserve">ública </w:t>
      </w:r>
      <w:r>
        <w:rPr>
          <w:rFonts w:ascii="Arial" w:hAnsi="Arial" w:cs="Arial"/>
          <w:color w:val="000000"/>
          <w:lang w:eastAsia="es-MX"/>
        </w:rPr>
        <w:t>E</w:t>
      </w:r>
      <w:r w:rsidRPr="00023BDB">
        <w:rPr>
          <w:rFonts w:ascii="Arial" w:hAnsi="Arial" w:cs="Arial"/>
          <w:color w:val="000000"/>
          <w:lang w:eastAsia="es-MX"/>
        </w:rPr>
        <w:t>statal, sectorizado a la Secretaria de Desarrollo Económico, con personalidad jurídica y patrimonio propio, creada el 29 de junio de 2017, en la que se reforman y adicionan diversas disposiciones de la Ley del Patrimonio del Estado de Quintana Roo, en dicha reforma contiene la Extinción Administrativa del Organismo Público Descentralizado Denominado Instituto de</w:t>
      </w:r>
      <w:r w:rsidR="002A3162">
        <w:rPr>
          <w:rFonts w:ascii="Arial" w:hAnsi="Arial" w:cs="Arial"/>
          <w:color w:val="000000"/>
          <w:lang w:eastAsia="es-MX"/>
        </w:rPr>
        <w:t>l</w:t>
      </w:r>
      <w:r w:rsidRPr="00023BDB">
        <w:rPr>
          <w:rFonts w:ascii="Arial" w:hAnsi="Arial" w:cs="Arial"/>
          <w:color w:val="000000"/>
          <w:lang w:eastAsia="es-MX"/>
        </w:rPr>
        <w:t xml:space="preserve"> Patrimonio Inmobiliario de la Administración Pública del Estado de Quintana Roo, donde se ordena la fusión y absorción de las funciones, atribuciones, derechos y obligaciones del Instituto de</w:t>
      </w:r>
      <w:r w:rsidR="00BF48EE">
        <w:rPr>
          <w:rFonts w:ascii="Arial" w:hAnsi="Arial" w:cs="Arial"/>
          <w:color w:val="000000"/>
          <w:lang w:eastAsia="es-MX"/>
        </w:rPr>
        <w:t>l</w:t>
      </w:r>
      <w:r w:rsidRPr="00023BDB">
        <w:rPr>
          <w:rFonts w:ascii="Arial" w:hAnsi="Arial" w:cs="Arial"/>
          <w:color w:val="000000"/>
          <w:lang w:eastAsia="es-MX"/>
        </w:rPr>
        <w:t xml:space="preserve"> Patrimonio Inmobiliario a la Agencia de Proyectos Estratégicos del Estado de Quintana Roo. Lo anterior, con la finalidad de garantizar la transparencia en las acciones que estaban a cargo del Instituto del Patrimonio Inmobiliario, y para propiciar el impulso de proyectos viables de Asociaciones Público-Privadas con el fin de atraer proyectos de inversión privada, activar la economía, instaurar mayor infraestructura y mejores servicios en beneficio de la sociedad quintanarroense; lo anterior, mediante el debido análisis jurídico, técnico y financiero.</w:t>
      </w:r>
    </w:p>
    <w:p w14:paraId="05389533" w14:textId="77777777" w:rsidR="001876B4" w:rsidRPr="00023BDB" w:rsidRDefault="001876B4" w:rsidP="00B73486">
      <w:pPr>
        <w:shd w:val="clear" w:color="auto" w:fill="FFFFFF"/>
        <w:spacing w:line="360" w:lineRule="auto"/>
        <w:ind w:right="141"/>
        <w:jc w:val="both"/>
        <w:rPr>
          <w:rFonts w:ascii="Arial" w:hAnsi="Arial" w:cs="Arial"/>
          <w:color w:val="000000"/>
          <w:lang w:eastAsia="es-MX"/>
        </w:rPr>
      </w:pPr>
    </w:p>
    <w:p w14:paraId="66C078A0" w14:textId="2932077E" w:rsidR="001876B4" w:rsidRDefault="001876B4" w:rsidP="00B73486">
      <w:pPr>
        <w:shd w:val="clear" w:color="auto" w:fill="FFFFFF"/>
        <w:spacing w:line="360" w:lineRule="auto"/>
        <w:ind w:right="141"/>
        <w:jc w:val="both"/>
        <w:rPr>
          <w:rFonts w:ascii="Arial" w:hAnsi="Arial" w:cs="Arial"/>
          <w:color w:val="000000"/>
          <w:lang w:eastAsia="es-MX"/>
        </w:rPr>
      </w:pPr>
      <w:r w:rsidRPr="00023BDB">
        <w:rPr>
          <w:rFonts w:ascii="Arial" w:hAnsi="Arial" w:cs="Arial"/>
          <w:color w:val="000000"/>
          <w:lang w:eastAsia="es-MX"/>
        </w:rPr>
        <w:t xml:space="preserve">En esa misma fecha se publica en el Periódico Oficial del </w:t>
      </w:r>
      <w:r w:rsidR="00F9462D">
        <w:rPr>
          <w:rFonts w:ascii="Arial" w:hAnsi="Arial" w:cs="Arial"/>
          <w:color w:val="000000"/>
          <w:lang w:eastAsia="es-MX"/>
        </w:rPr>
        <w:t>Estado de Quintana Roo</w:t>
      </w:r>
      <w:r w:rsidRPr="00023BDB">
        <w:rPr>
          <w:rFonts w:ascii="Arial" w:hAnsi="Arial" w:cs="Arial"/>
          <w:color w:val="000000"/>
          <w:lang w:eastAsia="es-MX"/>
        </w:rPr>
        <w:t xml:space="preserve"> la Ley de Asociaciones Púb</w:t>
      </w:r>
      <w:r>
        <w:rPr>
          <w:rFonts w:ascii="Arial" w:hAnsi="Arial" w:cs="Arial"/>
          <w:color w:val="000000"/>
          <w:lang w:eastAsia="es-MX"/>
        </w:rPr>
        <w:t>lico-Privadas para el Estado y l</w:t>
      </w:r>
      <w:r w:rsidRPr="00023BDB">
        <w:rPr>
          <w:rFonts w:ascii="Arial" w:hAnsi="Arial" w:cs="Arial"/>
          <w:color w:val="000000"/>
          <w:lang w:eastAsia="es-MX"/>
        </w:rPr>
        <w:t xml:space="preserve">os Municipios de Quintana Roo con la finalidad de crear un instrumento jurídico que establece procedimientos, etapas, modalidades y lineamientos enfocados a la regulación del procedimiento que brinde </w:t>
      </w:r>
      <w:r w:rsidRPr="00023BDB">
        <w:rPr>
          <w:rFonts w:ascii="Arial" w:hAnsi="Arial" w:cs="Arial"/>
          <w:color w:val="000000"/>
          <w:lang w:eastAsia="es-MX"/>
        </w:rPr>
        <w:lastRenderedPageBreak/>
        <w:t>certeza, tanto a la iniciativa privada, como al gobierno del estado y los municipios; con el objetivo de generar proyectos de infraestruct</w:t>
      </w:r>
      <w:r>
        <w:rPr>
          <w:rFonts w:ascii="Arial" w:hAnsi="Arial" w:cs="Arial"/>
          <w:color w:val="000000"/>
          <w:lang w:eastAsia="es-MX"/>
        </w:rPr>
        <w:t>ura y servicios de largo plazo.</w:t>
      </w:r>
    </w:p>
    <w:p w14:paraId="00E08DB0" w14:textId="77777777" w:rsidR="001876B4" w:rsidRDefault="001876B4" w:rsidP="00B73486">
      <w:pPr>
        <w:spacing w:line="360" w:lineRule="auto"/>
        <w:ind w:right="141"/>
        <w:jc w:val="both"/>
        <w:rPr>
          <w:rFonts w:ascii="Arial" w:hAnsi="Arial" w:cs="Arial"/>
        </w:rPr>
      </w:pPr>
    </w:p>
    <w:p w14:paraId="41A83A35" w14:textId="2CB22BFA" w:rsidR="001876B4" w:rsidRPr="00133E89" w:rsidRDefault="001876B4" w:rsidP="00B73486">
      <w:pPr>
        <w:spacing w:line="360" w:lineRule="auto"/>
        <w:ind w:right="141"/>
        <w:jc w:val="both"/>
        <w:rPr>
          <w:rFonts w:ascii="Arial" w:hAnsi="Arial" w:cs="Arial"/>
          <w:bCs/>
        </w:rPr>
      </w:pPr>
      <w:r w:rsidRPr="00133E89">
        <w:rPr>
          <w:rFonts w:ascii="Arial" w:hAnsi="Arial" w:cs="Arial"/>
        </w:rPr>
        <w:t xml:space="preserve">La </w:t>
      </w:r>
      <w:r w:rsidRPr="00086721">
        <w:rPr>
          <w:rFonts w:ascii="Arial" w:hAnsi="Arial" w:cs="Arial"/>
        </w:rPr>
        <w:t>Agencia</w:t>
      </w:r>
      <w:r w:rsidR="00086721" w:rsidRPr="00086721">
        <w:rPr>
          <w:rFonts w:ascii="Arial" w:hAnsi="Arial" w:cs="Arial"/>
        </w:rPr>
        <w:t xml:space="preserve"> </w:t>
      </w:r>
      <w:r w:rsidR="00086721" w:rsidRPr="00086721">
        <w:rPr>
          <w:rFonts w:ascii="Arial" w:hAnsi="Arial" w:cs="Arial"/>
          <w:bCs/>
          <w:lang w:eastAsia="es-MX"/>
        </w:rPr>
        <w:t>de Proyectos Estratégicos de Quintana Roo</w:t>
      </w:r>
      <w:r w:rsidRPr="00133E89">
        <w:rPr>
          <w:rFonts w:ascii="Arial" w:hAnsi="Arial" w:cs="Arial"/>
        </w:rPr>
        <w:t xml:space="preserve"> tendrá su oficina central en la ciudad de Chetumal, pudiendo tener las delegaciones y oficinas que estime necesarias para el cumplimiento de su objeto, en otras ciudades del Estado.</w:t>
      </w:r>
    </w:p>
    <w:p w14:paraId="77631C70" w14:textId="77777777" w:rsidR="00235244" w:rsidRDefault="00235244" w:rsidP="00B73486">
      <w:pPr>
        <w:spacing w:line="360" w:lineRule="auto"/>
        <w:ind w:right="141"/>
        <w:jc w:val="both"/>
        <w:rPr>
          <w:rFonts w:ascii="Arial" w:hAnsi="Arial" w:cs="Arial"/>
          <w:b/>
          <w:bCs/>
        </w:rPr>
      </w:pPr>
    </w:p>
    <w:p w14:paraId="3046FC29" w14:textId="77777777" w:rsidR="00235244" w:rsidRPr="009879F6" w:rsidRDefault="00235244" w:rsidP="00B73486">
      <w:pPr>
        <w:spacing w:line="360" w:lineRule="auto"/>
        <w:ind w:right="141"/>
        <w:jc w:val="both"/>
        <w:rPr>
          <w:rFonts w:ascii="Arial" w:hAnsi="Arial" w:cs="Arial"/>
          <w:b/>
          <w:bCs/>
        </w:rPr>
      </w:pPr>
      <w:r w:rsidRPr="009879F6">
        <w:rPr>
          <w:rFonts w:ascii="Arial" w:hAnsi="Arial" w:cs="Arial"/>
          <w:b/>
          <w:bCs/>
        </w:rPr>
        <w:t>I. INFORME INDIVIDUAL DE AUDITORÍA RELATIVO A INGRESOS</w:t>
      </w:r>
    </w:p>
    <w:p w14:paraId="2E4473F5" w14:textId="77777777" w:rsidR="00235244" w:rsidRPr="009879F6" w:rsidRDefault="00235244" w:rsidP="00B73486">
      <w:pPr>
        <w:spacing w:line="360" w:lineRule="auto"/>
        <w:ind w:right="141"/>
        <w:jc w:val="both"/>
        <w:rPr>
          <w:rFonts w:ascii="Arial" w:hAnsi="Arial" w:cs="Arial"/>
          <w:b/>
          <w:bCs/>
        </w:rPr>
      </w:pPr>
    </w:p>
    <w:p w14:paraId="13214749" w14:textId="77777777" w:rsidR="00235244" w:rsidRPr="009879F6" w:rsidRDefault="00235244" w:rsidP="00B73486">
      <w:pPr>
        <w:spacing w:line="360" w:lineRule="auto"/>
        <w:ind w:right="141"/>
        <w:jc w:val="both"/>
        <w:rPr>
          <w:rFonts w:ascii="Arial" w:hAnsi="Arial" w:cs="Arial"/>
          <w:b/>
          <w:bCs/>
        </w:rPr>
      </w:pPr>
      <w:r w:rsidRPr="009879F6">
        <w:rPr>
          <w:rFonts w:ascii="Arial" w:hAnsi="Arial" w:cs="Arial"/>
          <w:b/>
          <w:bCs/>
        </w:rPr>
        <w:t>I.1. ASPECTOS GENERALES DE LA AUDITORÍA</w:t>
      </w:r>
    </w:p>
    <w:p w14:paraId="7EB887B8" w14:textId="77777777" w:rsidR="00235244" w:rsidRPr="009879F6" w:rsidRDefault="00235244" w:rsidP="00B73486">
      <w:pPr>
        <w:spacing w:line="360" w:lineRule="auto"/>
        <w:ind w:right="141"/>
        <w:jc w:val="both"/>
        <w:rPr>
          <w:rFonts w:ascii="Arial" w:hAnsi="Arial" w:cs="Arial"/>
          <w:b/>
          <w:bCs/>
        </w:rPr>
      </w:pPr>
    </w:p>
    <w:p w14:paraId="083B93A2" w14:textId="66D26474" w:rsidR="00235244" w:rsidRDefault="00235244" w:rsidP="00B73486">
      <w:pPr>
        <w:spacing w:line="360" w:lineRule="auto"/>
        <w:ind w:right="141"/>
        <w:jc w:val="both"/>
        <w:rPr>
          <w:rFonts w:ascii="Arial" w:hAnsi="Arial" w:cs="Arial"/>
          <w:b/>
          <w:bCs/>
        </w:rPr>
      </w:pPr>
      <w:r w:rsidRPr="009879F6">
        <w:rPr>
          <w:rFonts w:ascii="Arial" w:hAnsi="Arial" w:cs="Arial"/>
          <w:b/>
          <w:bCs/>
        </w:rPr>
        <w:t>A. Título de la Auditoría</w:t>
      </w:r>
    </w:p>
    <w:p w14:paraId="3064930E" w14:textId="77777777" w:rsidR="00235244" w:rsidRPr="009879F6" w:rsidRDefault="00235244" w:rsidP="00B73486">
      <w:pPr>
        <w:spacing w:line="360" w:lineRule="auto"/>
        <w:ind w:right="141"/>
        <w:jc w:val="both"/>
        <w:rPr>
          <w:rFonts w:ascii="Arial" w:hAnsi="Arial" w:cs="Arial"/>
          <w:b/>
          <w:bCs/>
        </w:rPr>
      </w:pPr>
    </w:p>
    <w:p w14:paraId="709B7601" w14:textId="65927374" w:rsidR="00235244" w:rsidRPr="009879F6" w:rsidRDefault="00235244" w:rsidP="00B73486">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sidR="00D57C7D">
        <w:rPr>
          <w:rFonts w:ascii="Arial" w:hAnsi="Arial" w:cs="Arial"/>
          <w:bCs/>
        </w:rPr>
        <w:t xml:space="preserve"> </w:t>
      </w:r>
      <w:r>
        <w:rPr>
          <w:rFonts w:ascii="Arial" w:hAnsi="Arial" w:cs="Arial"/>
          <w:bCs/>
        </w:rPr>
        <w:t>l</w:t>
      </w:r>
      <w:r w:rsidR="00D57C7D">
        <w:rPr>
          <w:rFonts w:ascii="Arial" w:hAnsi="Arial" w:cs="Arial"/>
          <w:bCs/>
        </w:rPr>
        <w:t>a</w:t>
      </w:r>
      <w:r w:rsidRPr="009879F6">
        <w:rPr>
          <w:rFonts w:ascii="Arial" w:hAnsi="Arial" w:cs="Arial"/>
          <w:bCs/>
        </w:rPr>
        <w:t xml:space="preserve"> </w:t>
      </w:r>
      <w:r w:rsidR="00AB2875">
        <w:rPr>
          <w:rFonts w:ascii="Arial" w:hAnsi="Arial" w:cs="Arial"/>
          <w:b/>
        </w:rPr>
        <w:t>Agencia de Proyectos Estratégicos del Estado de Quintana Roo</w:t>
      </w:r>
      <w:r>
        <w:rPr>
          <w:rFonts w:ascii="Arial" w:hAnsi="Arial" w:cs="Arial"/>
        </w:rPr>
        <w:t xml:space="preserve">, </w:t>
      </w:r>
      <w:r w:rsidRPr="009879F6">
        <w:rPr>
          <w:rFonts w:ascii="Arial" w:hAnsi="Arial" w:cs="Arial"/>
        </w:rPr>
        <w:t>de manera especial y enunciativa mas no limitativa, fue la siguiente:</w:t>
      </w:r>
    </w:p>
    <w:p w14:paraId="170B017F" w14:textId="77777777" w:rsidR="00235244" w:rsidRPr="009879F6" w:rsidRDefault="00235244" w:rsidP="00B73486">
      <w:pPr>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235244" w:rsidRPr="009879F6" w14:paraId="489F825A" w14:textId="77777777" w:rsidTr="00024164">
        <w:trPr>
          <w:trHeight w:val="678"/>
          <w:tblHeader/>
          <w:jc w:val="center"/>
        </w:trPr>
        <w:tc>
          <w:tcPr>
            <w:tcW w:w="1764" w:type="pct"/>
            <w:shd w:val="clear" w:color="auto" w:fill="auto"/>
          </w:tcPr>
          <w:p w14:paraId="1C4525CD" w14:textId="0FE9D4DF" w:rsidR="00235244" w:rsidRPr="009879F6" w:rsidRDefault="00445BE4" w:rsidP="00B73486">
            <w:pPr>
              <w:spacing w:line="360" w:lineRule="auto"/>
              <w:ind w:right="141"/>
              <w:jc w:val="both"/>
              <w:rPr>
                <w:rFonts w:ascii="Arial" w:hAnsi="Arial" w:cs="Arial"/>
                <w:b/>
                <w:bCs/>
              </w:rPr>
            </w:pPr>
            <w:r w:rsidRPr="00445BE4">
              <w:rPr>
                <w:rFonts w:ascii="Arial" w:hAnsi="Arial" w:cs="Arial"/>
                <w:b/>
                <w:bCs/>
              </w:rPr>
              <w:t>21-AEMF-E-GOB-022-039</w:t>
            </w:r>
          </w:p>
        </w:tc>
        <w:tc>
          <w:tcPr>
            <w:tcW w:w="3236" w:type="pct"/>
            <w:shd w:val="clear" w:color="auto" w:fill="auto"/>
          </w:tcPr>
          <w:p w14:paraId="49CC95E6" w14:textId="52E5D029" w:rsidR="00235244" w:rsidRPr="009879F6" w:rsidRDefault="00235244" w:rsidP="00B73486">
            <w:pPr>
              <w:spacing w:line="360" w:lineRule="auto"/>
              <w:ind w:right="141"/>
              <w:jc w:val="both"/>
              <w:rPr>
                <w:rFonts w:ascii="Arial" w:hAnsi="Arial" w:cs="Arial"/>
                <w:bCs/>
              </w:rPr>
            </w:pPr>
            <w:r w:rsidRPr="009879F6">
              <w:rPr>
                <w:rFonts w:ascii="Arial" w:hAnsi="Arial" w:cs="Arial"/>
                <w:bCs/>
              </w:rPr>
              <w:t>“</w:t>
            </w:r>
            <w:r w:rsidRPr="00EC4C04">
              <w:rPr>
                <w:rFonts w:ascii="Arial" w:hAnsi="Arial" w:cs="Arial"/>
                <w:bCs/>
              </w:rPr>
              <w:t>Auditoría de Cumplimiento Financiero de Ingresos y Otros Beneficios”</w:t>
            </w:r>
          </w:p>
        </w:tc>
      </w:tr>
    </w:tbl>
    <w:p w14:paraId="765B6EB1" w14:textId="77777777" w:rsidR="003D68C2" w:rsidRDefault="003D68C2" w:rsidP="00B73486">
      <w:pPr>
        <w:spacing w:line="360" w:lineRule="auto"/>
        <w:ind w:right="141"/>
        <w:jc w:val="both"/>
        <w:rPr>
          <w:rFonts w:ascii="Arial" w:hAnsi="Arial" w:cs="Arial"/>
          <w:b/>
          <w:bCs/>
        </w:rPr>
      </w:pPr>
    </w:p>
    <w:p w14:paraId="2A58A2D2" w14:textId="6E19FF13" w:rsidR="00235244" w:rsidRDefault="00235244" w:rsidP="00B73486">
      <w:pPr>
        <w:spacing w:line="360" w:lineRule="auto"/>
        <w:ind w:right="141"/>
        <w:jc w:val="both"/>
        <w:rPr>
          <w:rFonts w:ascii="Arial" w:hAnsi="Arial" w:cs="Arial"/>
          <w:b/>
          <w:bCs/>
        </w:rPr>
      </w:pPr>
      <w:r w:rsidRPr="009879F6">
        <w:rPr>
          <w:rFonts w:ascii="Arial" w:hAnsi="Arial" w:cs="Arial"/>
          <w:b/>
          <w:bCs/>
        </w:rPr>
        <w:t>B. Objetivo</w:t>
      </w:r>
    </w:p>
    <w:p w14:paraId="256B09E3" w14:textId="77777777" w:rsidR="00235244" w:rsidRPr="009879F6" w:rsidRDefault="00235244" w:rsidP="00B73486">
      <w:pPr>
        <w:spacing w:line="360" w:lineRule="auto"/>
        <w:ind w:right="141"/>
        <w:jc w:val="both"/>
        <w:rPr>
          <w:rFonts w:ascii="Arial" w:hAnsi="Arial" w:cs="Arial"/>
          <w:b/>
          <w:bCs/>
        </w:rPr>
      </w:pPr>
    </w:p>
    <w:p w14:paraId="16671AC4" w14:textId="782F633B" w:rsidR="00235244" w:rsidRPr="001877A0" w:rsidRDefault="00235244" w:rsidP="00B73486">
      <w:pPr>
        <w:spacing w:line="360" w:lineRule="auto"/>
        <w:ind w:right="141"/>
        <w:jc w:val="both"/>
        <w:rPr>
          <w:rFonts w:ascii="Arial" w:hAnsi="Arial" w:cs="Arial"/>
          <w:bCs/>
        </w:rPr>
      </w:pPr>
      <w:r w:rsidRPr="001877A0">
        <w:rPr>
          <w:rFonts w:ascii="Arial" w:hAnsi="Arial" w:cs="Arial"/>
        </w:rPr>
        <w:t>Fiscalizar la gestión financiera para comprobar el cumplimiento de lo dispuesto en el Presupuesto de Ingresos</w:t>
      </w:r>
      <w:r>
        <w:rPr>
          <w:rFonts w:ascii="Arial" w:hAnsi="Arial" w:cs="Arial"/>
        </w:rPr>
        <w:t xml:space="preserve"> </w:t>
      </w:r>
      <w:r w:rsidRPr="0087021C">
        <w:rPr>
          <w:rFonts w:ascii="Arial" w:hAnsi="Arial" w:cs="Arial"/>
          <w:bCs/>
        </w:rPr>
        <w:t xml:space="preserve">para el ejercicio fiscal </w:t>
      </w:r>
      <w:r w:rsidR="00445BE4">
        <w:rPr>
          <w:rFonts w:ascii="Arial" w:hAnsi="Arial" w:cs="Arial"/>
          <w:bCs/>
        </w:rPr>
        <w:t>2021</w:t>
      </w:r>
      <w:r w:rsidRPr="001877A0">
        <w:rPr>
          <w:rFonts w:ascii="Arial" w:hAnsi="Arial" w:cs="Arial"/>
        </w:rPr>
        <w:t>, y demás disposiciones legales aplicables, en cuanto a los ingresos, incluyendo la revisión del manejo y l</w:t>
      </w:r>
      <w:r w:rsidR="001876B4">
        <w:rPr>
          <w:rFonts w:ascii="Arial" w:hAnsi="Arial" w:cs="Arial"/>
        </w:rPr>
        <w:t xml:space="preserve">a custodia de recursos estatales y </w:t>
      </w:r>
      <w:r w:rsidR="00BE3D4F">
        <w:rPr>
          <w:rFonts w:ascii="Arial" w:hAnsi="Arial" w:cs="Arial"/>
        </w:rPr>
        <w:t>propios</w:t>
      </w:r>
      <w:r w:rsidRPr="001877A0">
        <w:rPr>
          <w:rFonts w:ascii="Arial" w:hAnsi="Arial" w:cs="Arial"/>
        </w:rPr>
        <w:t>, así como de la demás información financiera, contable, patrimonial, presupuestaria y programática, conforme a las disposiciones aplicables.</w:t>
      </w:r>
    </w:p>
    <w:p w14:paraId="0C7A87C1" w14:textId="77777777" w:rsidR="00235244" w:rsidRPr="009879F6" w:rsidRDefault="00235244" w:rsidP="00B73486">
      <w:pPr>
        <w:spacing w:line="360" w:lineRule="auto"/>
        <w:ind w:right="141"/>
        <w:jc w:val="both"/>
        <w:rPr>
          <w:rFonts w:ascii="Arial" w:hAnsi="Arial" w:cs="Arial"/>
          <w:bCs/>
        </w:rPr>
      </w:pPr>
    </w:p>
    <w:p w14:paraId="53B6B394" w14:textId="77777777" w:rsidR="00235244" w:rsidRPr="00AA50F2" w:rsidRDefault="00235244" w:rsidP="00B73486">
      <w:pPr>
        <w:spacing w:line="360" w:lineRule="auto"/>
        <w:ind w:right="141"/>
        <w:jc w:val="both"/>
        <w:rPr>
          <w:rFonts w:ascii="Arial" w:hAnsi="Arial" w:cs="Arial"/>
          <w:b/>
          <w:bCs/>
        </w:rPr>
      </w:pPr>
      <w:r>
        <w:rPr>
          <w:rFonts w:ascii="Arial" w:hAnsi="Arial" w:cs="Arial"/>
          <w:b/>
          <w:bCs/>
        </w:rPr>
        <w:lastRenderedPageBreak/>
        <w:t>C.</w:t>
      </w:r>
      <w:r w:rsidRPr="00AA50F2">
        <w:rPr>
          <w:rFonts w:ascii="Arial" w:hAnsi="Arial" w:cs="Arial"/>
          <w:b/>
          <w:bCs/>
        </w:rPr>
        <w:t xml:space="preserve"> Alcance</w:t>
      </w:r>
    </w:p>
    <w:p w14:paraId="23142503" w14:textId="77777777" w:rsidR="00235244" w:rsidRPr="007B1830" w:rsidRDefault="00235244" w:rsidP="00B73486">
      <w:pPr>
        <w:spacing w:line="360" w:lineRule="auto"/>
        <w:ind w:right="141"/>
        <w:jc w:val="both"/>
        <w:rPr>
          <w:rFonts w:ascii="Arial" w:hAnsi="Arial" w:cs="Arial"/>
        </w:rPr>
      </w:pPr>
    </w:p>
    <w:p w14:paraId="56DC9B50" w14:textId="702859CD" w:rsidR="00235244" w:rsidRPr="00445BE4" w:rsidRDefault="00235244" w:rsidP="00B73486">
      <w:pPr>
        <w:spacing w:line="360" w:lineRule="auto"/>
        <w:ind w:right="141"/>
        <w:jc w:val="both"/>
        <w:rPr>
          <w:rFonts w:ascii="Arial" w:hAnsi="Arial" w:cs="Arial"/>
        </w:rPr>
      </w:pPr>
      <w:r w:rsidRPr="00445BE4">
        <w:rPr>
          <w:rFonts w:ascii="Arial" w:hAnsi="Arial" w:cs="Arial"/>
          <w:b/>
        </w:rPr>
        <w:t xml:space="preserve">Universo: </w:t>
      </w:r>
      <w:r w:rsidRPr="00445BE4">
        <w:rPr>
          <w:rFonts w:ascii="Arial" w:hAnsi="Arial" w:cs="Arial"/>
        </w:rPr>
        <w:t>$</w:t>
      </w:r>
      <w:r w:rsidR="00E207D9">
        <w:rPr>
          <w:rFonts w:ascii="Arial" w:hAnsi="Arial" w:cs="Arial"/>
        </w:rPr>
        <w:t>264,846,882.00</w:t>
      </w:r>
    </w:p>
    <w:p w14:paraId="683F20E1" w14:textId="77777777" w:rsidR="00235244" w:rsidRPr="00445BE4" w:rsidRDefault="00235244" w:rsidP="00B73486">
      <w:pPr>
        <w:spacing w:line="360" w:lineRule="auto"/>
        <w:ind w:right="141"/>
        <w:rPr>
          <w:rFonts w:ascii="Arial" w:hAnsi="Arial" w:cs="Arial"/>
        </w:rPr>
      </w:pPr>
      <w:bookmarkStart w:id="6" w:name="_Toc518907881"/>
      <w:bookmarkStart w:id="7" w:name="_Toc520196704"/>
    </w:p>
    <w:p w14:paraId="58DD4941" w14:textId="7D3F9C1A" w:rsidR="00235244" w:rsidRPr="00445BE4" w:rsidRDefault="00235244" w:rsidP="00B73486">
      <w:pPr>
        <w:spacing w:line="360" w:lineRule="auto"/>
        <w:ind w:right="141"/>
        <w:rPr>
          <w:rFonts w:ascii="Arial" w:hAnsi="Arial" w:cs="Arial"/>
        </w:rPr>
      </w:pPr>
      <w:r w:rsidRPr="00445BE4">
        <w:rPr>
          <w:rFonts w:ascii="Arial" w:hAnsi="Arial" w:cs="Arial"/>
          <w:b/>
        </w:rPr>
        <w:t xml:space="preserve">Población Objetivo: </w:t>
      </w:r>
      <w:r w:rsidRPr="00445BE4">
        <w:rPr>
          <w:rFonts w:ascii="Arial" w:hAnsi="Arial" w:cs="Arial"/>
        </w:rPr>
        <w:t>$</w:t>
      </w:r>
      <w:r w:rsidR="00E207D9">
        <w:rPr>
          <w:rFonts w:ascii="Arial" w:hAnsi="Arial" w:cs="Arial"/>
        </w:rPr>
        <w:t>264,846,882.00</w:t>
      </w:r>
    </w:p>
    <w:p w14:paraId="3C502392" w14:textId="77777777" w:rsidR="00235244" w:rsidRPr="00445BE4" w:rsidRDefault="00235244" w:rsidP="00B73486">
      <w:pPr>
        <w:spacing w:line="360" w:lineRule="auto"/>
        <w:ind w:right="141"/>
        <w:rPr>
          <w:rFonts w:ascii="Arial" w:hAnsi="Arial" w:cs="Arial"/>
        </w:rPr>
      </w:pPr>
    </w:p>
    <w:p w14:paraId="69717386" w14:textId="20E10D7C" w:rsidR="00235244" w:rsidRPr="00445BE4" w:rsidRDefault="00235244" w:rsidP="00B73486">
      <w:pPr>
        <w:spacing w:line="360" w:lineRule="auto"/>
        <w:ind w:right="141"/>
        <w:rPr>
          <w:rFonts w:ascii="Arial" w:hAnsi="Arial" w:cs="Arial"/>
        </w:rPr>
      </w:pPr>
      <w:r w:rsidRPr="00445BE4">
        <w:rPr>
          <w:rFonts w:ascii="Arial" w:hAnsi="Arial" w:cs="Arial"/>
          <w:b/>
        </w:rPr>
        <w:t>Muestra Auditada:</w:t>
      </w:r>
      <w:r w:rsidRPr="00445BE4">
        <w:rPr>
          <w:rFonts w:ascii="Arial" w:hAnsi="Arial" w:cs="Arial"/>
        </w:rPr>
        <w:t xml:space="preserve"> </w:t>
      </w:r>
      <w:bookmarkEnd w:id="6"/>
      <w:bookmarkEnd w:id="7"/>
      <w:r w:rsidRPr="00445BE4">
        <w:rPr>
          <w:rFonts w:ascii="Arial" w:hAnsi="Arial" w:cs="Arial"/>
        </w:rPr>
        <w:t>$</w:t>
      </w:r>
      <w:r w:rsidR="00445BE4" w:rsidRPr="00445BE4">
        <w:rPr>
          <w:rFonts w:ascii="Arial" w:hAnsi="Arial" w:cs="Arial"/>
        </w:rPr>
        <w:t>226,557,850.21</w:t>
      </w:r>
    </w:p>
    <w:p w14:paraId="4069D391" w14:textId="77777777" w:rsidR="00235244" w:rsidRPr="00445BE4" w:rsidRDefault="00235244" w:rsidP="00B73486">
      <w:pPr>
        <w:spacing w:line="360" w:lineRule="auto"/>
        <w:ind w:right="141"/>
        <w:rPr>
          <w:rFonts w:ascii="Arial" w:hAnsi="Arial" w:cs="Arial"/>
        </w:rPr>
      </w:pPr>
    </w:p>
    <w:p w14:paraId="36E62D21" w14:textId="47C3424F" w:rsidR="00235244" w:rsidRPr="009879F6" w:rsidRDefault="00235244" w:rsidP="00B73486">
      <w:pPr>
        <w:spacing w:line="360" w:lineRule="auto"/>
        <w:ind w:right="141"/>
        <w:rPr>
          <w:rFonts w:ascii="Arial" w:hAnsi="Arial" w:cs="Arial"/>
        </w:rPr>
      </w:pPr>
      <w:bookmarkStart w:id="8" w:name="_Toc518907882"/>
      <w:bookmarkStart w:id="9" w:name="_Toc520196705"/>
      <w:r w:rsidRPr="00445BE4">
        <w:rPr>
          <w:rFonts w:ascii="Arial" w:hAnsi="Arial" w:cs="Arial"/>
          <w:b/>
        </w:rPr>
        <w:t>Representatividad de la Muestra:</w:t>
      </w:r>
      <w:r w:rsidRPr="00445BE4">
        <w:rPr>
          <w:rFonts w:ascii="Arial" w:hAnsi="Arial" w:cs="Arial"/>
        </w:rPr>
        <w:t xml:space="preserve"> </w:t>
      </w:r>
      <w:bookmarkEnd w:id="8"/>
      <w:bookmarkEnd w:id="9"/>
      <w:r w:rsidR="00445BE4">
        <w:rPr>
          <w:rFonts w:ascii="Arial" w:hAnsi="Arial" w:cs="Arial"/>
        </w:rPr>
        <w:t>85.54</w:t>
      </w:r>
      <w:r w:rsidRPr="00445BE4">
        <w:rPr>
          <w:rFonts w:ascii="Arial" w:hAnsi="Arial" w:cs="Arial"/>
        </w:rPr>
        <w:t>%</w:t>
      </w:r>
    </w:p>
    <w:p w14:paraId="375E2175" w14:textId="77777777" w:rsidR="00235244" w:rsidRDefault="00235244" w:rsidP="00B73486">
      <w:pPr>
        <w:spacing w:line="360" w:lineRule="auto"/>
        <w:ind w:right="141"/>
        <w:jc w:val="both"/>
        <w:rPr>
          <w:rFonts w:ascii="Arial" w:hAnsi="Arial" w:cs="Arial"/>
        </w:rPr>
      </w:pPr>
    </w:p>
    <w:p w14:paraId="1D4C5914" w14:textId="239AC98D" w:rsidR="001876B4" w:rsidRPr="002E2B2B" w:rsidRDefault="001876B4" w:rsidP="00B73486">
      <w:pPr>
        <w:spacing w:line="360" w:lineRule="auto"/>
        <w:ind w:right="141"/>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 xml:space="preserve">estatales </w:t>
      </w:r>
      <w:r w:rsidR="003D68C2">
        <w:rPr>
          <w:rFonts w:ascii="Arial" w:hAnsi="Arial" w:cs="Arial"/>
        </w:rPr>
        <w:t xml:space="preserve">y </w:t>
      </w:r>
      <w:r>
        <w:rPr>
          <w:rFonts w:ascii="Arial" w:hAnsi="Arial" w:cs="Arial"/>
        </w:rPr>
        <w:t>propios</w:t>
      </w:r>
      <w:r w:rsidRPr="002E2B2B">
        <w:rPr>
          <w:rFonts w:ascii="Arial" w:hAnsi="Arial" w:cs="Arial"/>
        </w:rPr>
        <w:t>.</w:t>
      </w:r>
    </w:p>
    <w:p w14:paraId="0F53DC78" w14:textId="77777777" w:rsidR="00235244" w:rsidRDefault="00235244" w:rsidP="00B73486">
      <w:pPr>
        <w:spacing w:line="360" w:lineRule="auto"/>
        <w:ind w:right="141"/>
        <w:jc w:val="both"/>
        <w:rPr>
          <w:rFonts w:ascii="Arial" w:hAnsi="Arial" w:cs="Arial"/>
        </w:rPr>
      </w:pPr>
    </w:p>
    <w:p w14:paraId="324ACFCF" w14:textId="6BA1DE2B" w:rsidR="00235244" w:rsidRDefault="00235244" w:rsidP="00F411FF">
      <w:pPr>
        <w:tabs>
          <w:tab w:val="left" w:pos="2160"/>
        </w:tabs>
        <w:spacing w:line="360" w:lineRule="auto"/>
        <w:ind w:right="141"/>
        <w:jc w:val="both"/>
        <w:rPr>
          <w:rFonts w:ascii="Arial" w:hAnsi="Arial" w:cs="Arial"/>
        </w:rPr>
      </w:pPr>
      <w:bookmarkStart w:id="10" w:name="_Hlk11406313"/>
      <w:r w:rsidRPr="00EC4C04">
        <w:rPr>
          <w:rFonts w:ascii="Arial" w:hAnsi="Arial" w:cs="Arial"/>
        </w:rPr>
        <w:t>La población objetivo se determinó sobre la base de los ingresos, que forman parte del Estado Analítico de Ingresos por Fuente de Financiamiento por el período comprendido del 01 de en</w:t>
      </w:r>
      <w:r w:rsidR="00445BE4">
        <w:rPr>
          <w:rFonts w:ascii="Arial" w:hAnsi="Arial" w:cs="Arial"/>
        </w:rPr>
        <w:t>ero al 31 de diciembre de 2021</w:t>
      </w:r>
      <w:r w:rsidR="00F411FF">
        <w:rPr>
          <w:rFonts w:ascii="Arial" w:hAnsi="Arial" w:cs="Arial"/>
        </w:rPr>
        <w:t>.</w:t>
      </w:r>
      <w:r w:rsidR="003F4E8B">
        <w:rPr>
          <w:rFonts w:ascii="Arial" w:hAnsi="Arial" w:cs="Arial"/>
        </w:rPr>
        <w:t xml:space="preserve"> </w:t>
      </w:r>
      <w:bookmarkEnd w:id="10"/>
    </w:p>
    <w:p w14:paraId="3BD501C2" w14:textId="77777777" w:rsidR="00F411FF" w:rsidRDefault="00F411FF" w:rsidP="00F411FF">
      <w:pPr>
        <w:tabs>
          <w:tab w:val="left" w:pos="2160"/>
        </w:tabs>
        <w:spacing w:line="360" w:lineRule="auto"/>
        <w:ind w:right="141"/>
        <w:jc w:val="both"/>
        <w:rPr>
          <w:rFonts w:ascii="Arial" w:hAnsi="Arial" w:cs="Arial"/>
          <w:bCs/>
        </w:rPr>
      </w:pPr>
    </w:p>
    <w:p w14:paraId="735C557B" w14:textId="77777777" w:rsidR="00235244" w:rsidRDefault="00235244" w:rsidP="00B73486">
      <w:pPr>
        <w:spacing w:line="360" w:lineRule="auto"/>
        <w:ind w:right="141"/>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Default="00235244" w:rsidP="00B73486">
      <w:pPr>
        <w:tabs>
          <w:tab w:val="left" w:pos="9498"/>
        </w:tabs>
        <w:spacing w:line="360" w:lineRule="auto"/>
        <w:ind w:right="141"/>
        <w:jc w:val="both"/>
        <w:rPr>
          <w:rFonts w:ascii="Arial" w:hAnsi="Arial" w:cs="Arial"/>
          <w:bCs/>
        </w:rPr>
      </w:pPr>
    </w:p>
    <w:p w14:paraId="499DA43E" w14:textId="77777777" w:rsidR="00235244" w:rsidRPr="009879F6" w:rsidRDefault="00235244" w:rsidP="00B73486">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ingresos y otros beneficios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B2BE95" w14:textId="77777777" w:rsidR="00235244" w:rsidRPr="009879F6" w:rsidRDefault="00235244" w:rsidP="00B73486">
      <w:pPr>
        <w:spacing w:line="360" w:lineRule="auto"/>
        <w:ind w:right="141"/>
        <w:jc w:val="both"/>
        <w:rPr>
          <w:rFonts w:ascii="Arial" w:hAnsi="Arial" w:cs="Arial"/>
          <w:bCs/>
        </w:rPr>
      </w:pPr>
    </w:p>
    <w:p w14:paraId="47462EB9" w14:textId="1641A5FA" w:rsidR="00235244" w:rsidRDefault="00235244" w:rsidP="00B73486">
      <w:pPr>
        <w:spacing w:line="360" w:lineRule="auto"/>
        <w:ind w:right="141"/>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6E45FE">
        <w:rPr>
          <w:rFonts w:ascii="Arial" w:hAnsi="Arial" w:cs="Arial"/>
          <w:bCs/>
        </w:rPr>
        <w:t xml:space="preserve"> </w:t>
      </w:r>
      <w:r w:rsidR="00B77E83">
        <w:rPr>
          <w:rFonts w:ascii="Arial" w:hAnsi="Arial" w:cs="Arial"/>
          <w:bCs/>
        </w:rPr>
        <w:t>l</w:t>
      </w:r>
      <w:r w:rsidR="006E45FE">
        <w:rPr>
          <w:rFonts w:ascii="Arial" w:hAnsi="Arial" w:cs="Arial"/>
          <w:bCs/>
        </w:rPr>
        <w:t>a</w:t>
      </w:r>
      <w:r w:rsidRPr="009879F6">
        <w:rPr>
          <w:rFonts w:ascii="Arial" w:hAnsi="Arial" w:cs="Arial"/>
          <w:bCs/>
        </w:rPr>
        <w:t xml:space="preserve"> </w:t>
      </w:r>
      <w:r w:rsidR="00AB2875">
        <w:rPr>
          <w:rFonts w:ascii="Arial" w:hAnsi="Arial" w:cs="Arial"/>
          <w:b/>
        </w:rPr>
        <w:t>Agencia de Proyectos Estratégicos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799415A" w14:textId="77777777" w:rsidR="00235244" w:rsidRDefault="00235244" w:rsidP="00B73486">
      <w:pPr>
        <w:spacing w:line="360" w:lineRule="auto"/>
        <w:ind w:right="141"/>
        <w:jc w:val="both"/>
        <w:rPr>
          <w:rFonts w:ascii="Arial" w:hAnsi="Arial" w:cs="Arial"/>
          <w:bCs/>
        </w:rPr>
      </w:pPr>
    </w:p>
    <w:p w14:paraId="241310A8" w14:textId="2C94E81C" w:rsidR="00235244" w:rsidRDefault="00235244" w:rsidP="00B73486">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72B023" w14:textId="77777777" w:rsidR="00235244" w:rsidRDefault="00235244" w:rsidP="00B73486">
      <w:pPr>
        <w:spacing w:line="360" w:lineRule="auto"/>
        <w:ind w:right="141"/>
        <w:jc w:val="both"/>
        <w:rPr>
          <w:rFonts w:ascii="Arial" w:hAnsi="Arial" w:cs="Arial"/>
          <w:b/>
        </w:rPr>
      </w:pPr>
    </w:p>
    <w:p w14:paraId="6CDBDD8B" w14:textId="77777777" w:rsidR="00235244" w:rsidRPr="008D4630" w:rsidRDefault="00235244" w:rsidP="00B73486">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8D4630" w:rsidRDefault="00235244" w:rsidP="00B73486">
      <w:pPr>
        <w:spacing w:line="360" w:lineRule="auto"/>
        <w:ind w:right="141"/>
        <w:jc w:val="both"/>
        <w:rPr>
          <w:rFonts w:ascii="Arial" w:hAnsi="Arial" w:cs="Arial"/>
          <w:b/>
        </w:rPr>
      </w:pPr>
    </w:p>
    <w:p w14:paraId="1A9346C2" w14:textId="1D69D68B" w:rsidR="00235244" w:rsidRDefault="00235244" w:rsidP="00B73486">
      <w:pPr>
        <w:spacing w:line="360" w:lineRule="auto"/>
        <w:ind w:right="141"/>
        <w:jc w:val="both"/>
        <w:rPr>
          <w:rFonts w:ascii="Arial" w:hAnsi="Arial" w:cs="Arial"/>
          <w:bCs/>
        </w:rPr>
      </w:pPr>
      <w:r w:rsidRPr="003D68C2">
        <w:rPr>
          <w:rFonts w:ascii="Arial" w:hAnsi="Arial" w:cs="Arial"/>
        </w:rPr>
        <w:t>Se revisaron las áreas de Dirección Administrativa</w:t>
      </w:r>
      <w:r w:rsidR="000D214E">
        <w:rPr>
          <w:rFonts w:ascii="Arial" w:hAnsi="Arial" w:cs="Arial"/>
        </w:rPr>
        <w:t xml:space="preserve">, Dirección de Titulación, Dirección del Centro Internacional de Negocios y Convenciones de Chetumal, Coordinación General de </w:t>
      </w:r>
      <w:r w:rsidR="000D214E">
        <w:rPr>
          <w:rFonts w:ascii="Arial" w:hAnsi="Arial" w:cs="Arial"/>
        </w:rPr>
        <w:lastRenderedPageBreak/>
        <w:t>Patrimonio,</w:t>
      </w:r>
      <w:r w:rsidRPr="003D68C2">
        <w:rPr>
          <w:rFonts w:ascii="Arial" w:hAnsi="Arial" w:cs="Arial"/>
          <w:bCs/>
        </w:rPr>
        <w:t xml:space="preserve"> </w:t>
      </w:r>
      <w:r w:rsidR="003D68C2">
        <w:rPr>
          <w:rFonts w:ascii="Arial" w:hAnsi="Arial" w:cs="Arial"/>
          <w:bCs/>
        </w:rPr>
        <w:t xml:space="preserve">y </w:t>
      </w:r>
      <w:r w:rsidR="000D214E">
        <w:rPr>
          <w:rFonts w:ascii="Arial" w:hAnsi="Arial" w:cs="Arial"/>
          <w:bCs/>
        </w:rPr>
        <w:t>el</w:t>
      </w:r>
      <w:r w:rsidR="003D68C2">
        <w:rPr>
          <w:rFonts w:ascii="Arial" w:hAnsi="Arial" w:cs="Arial"/>
          <w:bCs/>
        </w:rPr>
        <w:t xml:space="preserve"> </w:t>
      </w:r>
      <w:r w:rsidR="003D68C2" w:rsidRPr="003D68C2">
        <w:rPr>
          <w:rFonts w:ascii="Arial" w:hAnsi="Arial" w:cs="Arial"/>
          <w:bCs/>
        </w:rPr>
        <w:t>Departamento de Contabilidad</w:t>
      </w:r>
      <w:r w:rsidR="000D214E">
        <w:rPr>
          <w:rFonts w:ascii="Arial" w:hAnsi="Arial" w:cs="Arial"/>
          <w:bCs/>
        </w:rPr>
        <w:t>,</w:t>
      </w:r>
      <w:r w:rsidR="003D68C2" w:rsidRPr="003D68C2">
        <w:rPr>
          <w:rFonts w:ascii="Arial" w:hAnsi="Arial" w:cs="Arial"/>
          <w:bCs/>
        </w:rPr>
        <w:t xml:space="preserve"> </w:t>
      </w:r>
      <w:r w:rsidRPr="003D68C2">
        <w:rPr>
          <w:rFonts w:ascii="Arial" w:hAnsi="Arial" w:cs="Arial"/>
        </w:rPr>
        <w:t>de</w:t>
      </w:r>
      <w:r w:rsidR="006E45FE" w:rsidRPr="003D68C2">
        <w:rPr>
          <w:rFonts w:ascii="Arial" w:hAnsi="Arial" w:cs="Arial"/>
        </w:rPr>
        <w:t xml:space="preserve"> </w:t>
      </w:r>
      <w:r w:rsidRPr="003D68C2">
        <w:rPr>
          <w:rFonts w:ascii="Arial" w:hAnsi="Arial" w:cs="Arial"/>
        </w:rPr>
        <w:t>l</w:t>
      </w:r>
      <w:r w:rsidR="006E45FE" w:rsidRPr="003D68C2">
        <w:rPr>
          <w:rFonts w:ascii="Arial" w:hAnsi="Arial" w:cs="Arial"/>
        </w:rPr>
        <w:t>a</w:t>
      </w:r>
      <w:r w:rsidRPr="003D68C2">
        <w:rPr>
          <w:rFonts w:ascii="Arial" w:hAnsi="Arial" w:cs="Arial"/>
        </w:rPr>
        <w:t xml:space="preserve"> </w:t>
      </w:r>
      <w:r w:rsidR="00AB2875" w:rsidRPr="003D68C2">
        <w:rPr>
          <w:rFonts w:ascii="Arial" w:hAnsi="Arial" w:cs="Arial"/>
          <w:b/>
          <w:bCs/>
        </w:rPr>
        <w:t>Agencia de Proyectos Estratégicos del Estado de Quintana Roo</w:t>
      </w:r>
      <w:r w:rsidRPr="003D68C2">
        <w:rPr>
          <w:rFonts w:ascii="Arial" w:hAnsi="Arial" w:cs="Arial"/>
          <w:bCs/>
        </w:rPr>
        <w:t>.</w:t>
      </w:r>
    </w:p>
    <w:p w14:paraId="538586D3" w14:textId="77777777" w:rsidR="00235244" w:rsidRPr="008D4630" w:rsidRDefault="00235244" w:rsidP="00B73486">
      <w:pPr>
        <w:spacing w:line="360" w:lineRule="auto"/>
        <w:ind w:right="141"/>
        <w:jc w:val="both"/>
        <w:rPr>
          <w:rFonts w:ascii="Arial" w:hAnsi="Arial" w:cs="Arial"/>
        </w:rPr>
      </w:pPr>
    </w:p>
    <w:p w14:paraId="1030058F" w14:textId="77777777" w:rsidR="00235244" w:rsidRDefault="00235244" w:rsidP="00B73486">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E66F94" w:rsidRDefault="00235244" w:rsidP="00B73486">
      <w:pPr>
        <w:spacing w:line="360" w:lineRule="auto"/>
        <w:ind w:right="141"/>
        <w:jc w:val="both"/>
        <w:rPr>
          <w:rFonts w:ascii="Arial" w:hAnsi="Arial" w:cs="Arial"/>
          <w:b/>
        </w:rPr>
      </w:pPr>
    </w:p>
    <w:p w14:paraId="69EB26FE" w14:textId="77777777" w:rsidR="00235244" w:rsidRPr="00C47B98" w:rsidRDefault="00235244" w:rsidP="00B73486">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D43DFD2" w14:textId="77777777" w:rsidR="00235244" w:rsidRPr="00C47B98" w:rsidRDefault="00235244" w:rsidP="00B73486">
      <w:pPr>
        <w:spacing w:line="360" w:lineRule="auto"/>
        <w:ind w:right="141"/>
        <w:jc w:val="both"/>
        <w:rPr>
          <w:rFonts w:ascii="Arial" w:hAnsi="Arial" w:cs="Arial"/>
          <w:bCs/>
        </w:rPr>
      </w:pPr>
    </w:p>
    <w:p w14:paraId="2FEE7DAA" w14:textId="77777777" w:rsidR="00235244" w:rsidRPr="00C47B98" w:rsidRDefault="00235244" w:rsidP="00B73486">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B57BEB1" w14:textId="77777777" w:rsidR="00235244" w:rsidRPr="00C47B98" w:rsidRDefault="00235244" w:rsidP="00B73486">
      <w:pPr>
        <w:spacing w:line="360" w:lineRule="auto"/>
        <w:ind w:right="141"/>
        <w:jc w:val="both"/>
        <w:rPr>
          <w:rFonts w:ascii="Arial" w:hAnsi="Arial" w:cs="Arial"/>
          <w:bCs/>
        </w:rPr>
      </w:pPr>
    </w:p>
    <w:p w14:paraId="203B87A3" w14:textId="77777777" w:rsidR="00235244" w:rsidRPr="00C47B98" w:rsidRDefault="00235244" w:rsidP="00B73486">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w:t>
      </w:r>
      <w:r w:rsidRPr="00C47B98">
        <w:rPr>
          <w:rFonts w:ascii="Arial" w:hAnsi="Arial" w:cs="Arial"/>
          <w:bCs/>
        </w:rPr>
        <w:lastRenderedPageBreak/>
        <w:t>forma individual o combinada fueron los procedimientos de auditoría utilizados durante todo el proceso de fiscalización. La evaluación sobre la evidencia fue objetiva y los resultados se comunicaron y trataron con el ente auditado.</w:t>
      </w:r>
    </w:p>
    <w:p w14:paraId="26CF2B18" w14:textId="77777777" w:rsidR="00235244" w:rsidRPr="00601F6D" w:rsidRDefault="00235244" w:rsidP="00B73486">
      <w:pPr>
        <w:spacing w:line="360" w:lineRule="auto"/>
        <w:ind w:right="141"/>
        <w:jc w:val="both"/>
        <w:rPr>
          <w:rFonts w:ascii="Arial" w:hAnsi="Arial" w:cs="Arial"/>
          <w:bCs/>
          <w:sz w:val="18"/>
          <w:szCs w:val="18"/>
        </w:rPr>
      </w:pPr>
    </w:p>
    <w:p w14:paraId="74B4F801" w14:textId="77777777" w:rsidR="00235244" w:rsidRDefault="00235244" w:rsidP="00B73486">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22A0339" w14:textId="77777777" w:rsidR="00356C6D" w:rsidRPr="00601F6D" w:rsidRDefault="00356C6D" w:rsidP="00B73486">
      <w:pPr>
        <w:spacing w:line="360" w:lineRule="auto"/>
        <w:ind w:right="141"/>
        <w:jc w:val="both"/>
        <w:rPr>
          <w:rFonts w:ascii="Arial" w:hAnsi="Arial" w:cs="Arial"/>
          <w:bCs/>
          <w:sz w:val="18"/>
          <w:szCs w:val="18"/>
        </w:rPr>
      </w:pPr>
    </w:p>
    <w:p w14:paraId="72371F99" w14:textId="57C1D95E" w:rsidR="00FA27D9" w:rsidRDefault="00FA27D9" w:rsidP="00CB31BD">
      <w:pPr>
        <w:spacing w:line="360" w:lineRule="auto"/>
        <w:ind w:right="142"/>
        <w:jc w:val="both"/>
        <w:rPr>
          <w:rFonts w:ascii="Arial" w:hAnsi="Arial" w:cs="Arial"/>
          <w:bCs/>
          <w:iCs/>
          <w:shd w:val="clear" w:color="auto" w:fill="FFFFFF" w:themeFill="background1"/>
        </w:rPr>
      </w:pPr>
      <w:r w:rsidRPr="00562742">
        <w:rPr>
          <w:rFonts w:ascii="Arial" w:hAnsi="Arial" w:cs="Arial"/>
          <w:bCs/>
          <w:iCs/>
        </w:rPr>
        <w:t xml:space="preserve">1. </w:t>
      </w:r>
      <w:r w:rsidRPr="0070658D">
        <w:rPr>
          <w:rFonts w:ascii="Arial" w:hAnsi="Arial" w:cs="Arial"/>
          <w:bCs/>
          <w:iCs/>
          <w:shd w:val="clear" w:color="auto" w:fill="FFFFFF" w:themeFill="background1"/>
        </w:rPr>
        <w:t>Verificar que los controles internos implementados con respecto a ingresos permitieron la adecuada gestión administrativa para el desarrollo eficiente de las operaciones, la obtención de información confiable</w:t>
      </w:r>
      <w:r w:rsidRPr="00562742">
        <w:rPr>
          <w:rFonts w:ascii="Arial" w:hAnsi="Arial" w:cs="Arial"/>
          <w:bCs/>
          <w:iCs/>
          <w:shd w:val="clear" w:color="auto" w:fill="FFFFFF" w:themeFill="background1"/>
        </w:rPr>
        <w:t xml:space="preserve"> y oportuna.</w:t>
      </w:r>
    </w:p>
    <w:p w14:paraId="42BCBFE4" w14:textId="77777777" w:rsidR="00CB31BD" w:rsidRPr="00F45E51" w:rsidRDefault="00CB31BD" w:rsidP="00CB31BD">
      <w:pPr>
        <w:spacing w:line="360" w:lineRule="auto"/>
        <w:ind w:right="142"/>
        <w:jc w:val="both"/>
        <w:rPr>
          <w:rFonts w:ascii="Arial" w:hAnsi="Arial" w:cs="Arial"/>
          <w:bCs/>
          <w:iCs/>
          <w:sz w:val="18"/>
          <w:szCs w:val="18"/>
        </w:rPr>
      </w:pPr>
    </w:p>
    <w:p w14:paraId="4D177AC3" w14:textId="666A51B3" w:rsidR="00FA27D9" w:rsidRDefault="00B32E18" w:rsidP="00CB31BD">
      <w:pPr>
        <w:spacing w:line="360" w:lineRule="auto"/>
        <w:ind w:right="142"/>
        <w:jc w:val="both"/>
        <w:rPr>
          <w:rFonts w:ascii="Arial" w:hAnsi="Arial" w:cs="Arial"/>
        </w:rPr>
      </w:pPr>
      <w:r>
        <w:rPr>
          <w:rFonts w:ascii="Arial" w:hAnsi="Arial" w:cs="Arial"/>
        </w:rPr>
        <w:t>2.</w:t>
      </w:r>
      <w:r w:rsidR="00FA27D9">
        <w:rPr>
          <w:rFonts w:ascii="Arial" w:hAnsi="Arial" w:cs="Arial"/>
        </w:rPr>
        <w:t xml:space="preserve"> </w:t>
      </w:r>
      <w:r w:rsidR="00FA27D9" w:rsidRPr="006D3274">
        <w:rPr>
          <w:rFonts w:ascii="Arial" w:hAnsi="Arial" w:cs="Arial"/>
        </w:rPr>
        <w:t>Verificar y constatar que las modificaciones al presupuesto original estén respaldadas en los oficios de adecuación presupuestaria.</w:t>
      </w:r>
    </w:p>
    <w:p w14:paraId="48A85800" w14:textId="77777777" w:rsidR="00CB31BD" w:rsidRPr="00F45E51" w:rsidRDefault="00CB31BD" w:rsidP="00CB31BD">
      <w:pPr>
        <w:spacing w:line="360" w:lineRule="auto"/>
        <w:ind w:right="142"/>
        <w:jc w:val="both"/>
        <w:rPr>
          <w:rFonts w:ascii="Arial" w:hAnsi="Arial" w:cs="Arial"/>
          <w:sz w:val="18"/>
          <w:szCs w:val="18"/>
        </w:rPr>
      </w:pPr>
    </w:p>
    <w:p w14:paraId="18CD704C" w14:textId="0E09FCA6" w:rsidR="00FA27D9" w:rsidRDefault="00B32E18" w:rsidP="00CB31BD">
      <w:pPr>
        <w:spacing w:line="360" w:lineRule="auto"/>
        <w:ind w:right="142"/>
        <w:jc w:val="both"/>
        <w:rPr>
          <w:rFonts w:ascii="Arial" w:hAnsi="Arial" w:cs="Arial"/>
        </w:rPr>
      </w:pPr>
      <w:r>
        <w:rPr>
          <w:rFonts w:ascii="Arial" w:hAnsi="Arial" w:cs="Arial"/>
        </w:rPr>
        <w:t>3</w:t>
      </w:r>
      <w:r w:rsidR="00FA27D9">
        <w:rPr>
          <w:rFonts w:ascii="Arial" w:hAnsi="Arial" w:cs="Arial"/>
        </w:rPr>
        <w:t xml:space="preserve">. </w:t>
      </w:r>
      <w:r w:rsidR="00FA27D9" w:rsidRPr="006D3274">
        <w:rPr>
          <w:rFonts w:ascii="Arial" w:hAnsi="Arial" w:cs="Arial"/>
        </w:rPr>
        <w:t xml:space="preserve">Constatar que los ingresos por venta de bienes y servicios se determinaron, justificaron, cobraron, depositaron, registraron y presentaron en los Estados Financieros y en la Cuenta Pública, de conformidad con las disposiciones jurídicas aplicables. </w:t>
      </w:r>
    </w:p>
    <w:p w14:paraId="0042425A" w14:textId="77777777" w:rsidR="00F45E51" w:rsidRPr="00F45E51" w:rsidRDefault="00F45E51" w:rsidP="00CB31BD">
      <w:pPr>
        <w:spacing w:line="360" w:lineRule="auto"/>
        <w:ind w:right="142"/>
        <w:jc w:val="both"/>
        <w:rPr>
          <w:rFonts w:ascii="Arial" w:hAnsi="Arial" w:cs="Arial"/>
          <w:sz w:val="18"/>
          <w:szCs w:val="18"/>
        </w:rPr>
      </w:pPr>
    </w:p>
    <w:p w14:paraId="044550E8" w14:textId="2F535EA8" w:rsidR="00CB31BD" w:rsidRDefault="00B32E18" w:rsidP="00CB31BD">
      <w:pPr>
        <w:spacing w:line="360" w:lineRule="auto"/>
        <w:ind w:right="141"/>
        <w:jc w:val="both"/>
        <w:rPr>
          <w:rFonts w:ascii="Arial" w:hAnsi="Arial" w:cs="Arial"/>
          <w:bCs/>
          <w:lang w:val="es-ES"/>
        </w:rPr>
      </w:pPr>
      <w:r>
        <w:rPr>
          <w:rFonts w:ascii="Arial" w:hAnsi="Arial" w:cs="Arial"/>
        </w:rPr>
        <w:t>4</w:t>
      </w:r>
      <w:r w:rsidR="00CB31BD">
        <w:rPr>
          <w:rFonts w:ascii="Arial" w:hAnsi="Arial" w:cs="Arial"/>
        </w:rPr>
        <w:t xml:space="preserve">. </w:t>
      </w:r>
      <w:r w:rsidR="00CB31BD" w:rsidRPr="000078B9">
        <w:rPr>
          <w:rFonts w:ascii="Arial" w:hAnsi="Arial" w:cs="Arial"/>
          <w:bCs/>
          <w:lang w:val="es-ES"/>
        </w:rPr>
        <w:t xml:space="preserve">Constatar que el </w:t>
      </w:r>
      <w:r w:rsidR="00CB31BD">
        <w:rPr>
          <w:rFonts w:ascii="Arial" w:hAnsi="Arial" w:cs="Arial"/>
          <w:bCs/>
          <w:lang w:val="es-ES"/>
        </w:rPr>
        <w:t>Sistema</w:t>
      </w:r>
      <w:r w:rsidR="00CB31BD" w:rsidRPr="000078B9">
        <w:rPr>
          <w:rFonts w:ascii="Arial" w:hAnsi="Arial" w:cs="Arial"/>
          <w:bCs/>
          <w:lang w:val="es-ES"/>
        </w:rPr>
        <w:t xml:space="preserve"> registró las etapas del presupuesto en las cuentas contables que, para tal efecto, establece el CONAC, las cuales en lo relativo a la Ley de Ingresos deberán reflejar: el estimado, modificado, devengado y recaudado.</w:t>
      </w:r>
    </w:p>
    <w:p w14:paraId="6A76887C" w14:textId="77777777" w:rsidR="00CB31BD" w:rsidRPr="00F45E51" w:rsidRDefault="00CB31BD" w:rsidP="00CB31BD">
      <w:pPr>
        <w:spacing w:line="360" w:lineRule="auto"/>
        <w:ind w:right="141"/>
        <w:jc w:val="both"/>
        <w:rPr>
          <w:rFonts w:ascii="Arial" w:hAnsi="Arial" w:cs="Arial"/>
          <w:sz w:val="18"/>
          <w:szCs w:val="18"/>
        </w:rPr>
      </w:pPr>
    </w:p>
    <w:p w14:paraId="286B53BD" w14:textId="60FD22A3" w:rsidR="00CB31BD" w:rsidRDefault="00B32E18" w:rsidP="000E63CF">
      <w:pPr>
        <w:spacing w:line="360" w:lineRule="auto"/>
        <w:ind w:right="141"/>
        <w:jc w:val="both"/>
        <w:rPr>
          <w:rFonts w:ascii="Arial" w:hAnsi="Arial" w:cs="Arial"/>
          <w:color w:val="000000"/>
        </w:rPr>
      </w:pPr>
      <w:r>
        <w:rPr>
          <w:rFonts w:ascii="Arial" w:hAnsi="Arial" w:cs="Arial"/>
          <w:color w:val="000000"/>
        </w:rPr>
        <w:t>5</w:t>
      </w:r>
      <w:r w:rsidR="00CB31BD">
        <w:rPr>
          <w:rFonts w:ascii="Arial" w:hAnsi="Arial" w:cs="Arial"/>
          <w:color w:val="000000"/>
        </w:rPr>
        <w:t xml:space="preserve">. </w:t>
      </w:r>
      <w:r w:rsidR="00CB31BD" w:rsidRPr="006D3274">
        <w:rPr>
          <w:rFonts w:ascii="Arial" w:hAnsi="Arial" w:cs="Arial"/>
          <w:color w:val="000000"/>
        </w:rPr>
        <w:t xml:space="preserve">Conciliar los recursos transferidos por la Secretaría de Finanzas y Planeación del Estado de Quintana Roo, con los registros contables y presupuestarios del ente </w:t>
      </w:r>
      <w:proofErr w:type="spellStart"/>
      <w:r w:rsidR="00CB31BD" w:rsidRPr="006D3274">
        <w:rPr>
          <w:rFonts w:ascii="Arial" w:hAnsi="Arial" w:cs="Arial"/>
          <w:color w:val="000000"/>
        </w:rPr>
        <w:t>fiscalizado</w:t>
      </w:r>
      <w:proofErr w:type="spellEnd"/>
      <w:r w:rsidR="00CB31BD" w:rsidRPr="006D3274">
        <w:rPr>
          <w:rFonts w:ascii="Arial" w:hAnsi="Arial" w:cs="Arial"/>
          <w:color w:val="000000"/>
        </w:rPr>
        <w:t>.</w:t>
      </w:r>
    </w:p>
    <w:p w14:paraId="38784D6E" w14:textId="77777777" w:rsidR="00CB31BD" w:rsidRPr="00F45E51" w:rsidRDefault="00CB31BD" w:rsidP="00CB31BD">
      <w:pPr>
        <w:spacing w:line="360" w:lineRule="auto"/>
        <w:ind w:right="51"/>
        <w:jc w:val="both"/>
        <w:rPr>
          <w:rFonts w:ascii="Arial" w:hAnsi="Arial" w:cs="Arial"/>
          <w:color w:val="000000"/>
          <w:sz w:val="18"/>
          <w:szCs w:val="18"/>
        </w:rPr>
      </w:pPr>
    </w:p>
    <w:p w14:paraId="7A3F51A5" w14:textId="41BC9093" w:rsidR="00CB31BD" w:rsidRDefault="00B32E18" w:rsidP="00CB31BD">
      <w:pPr>
        <w:tabs>
          <w:tab w:val="left" w:pos="9498"/>
        </w:tabs>
        <w:spacing w:line="360" w:lineRule="auto"/>
        <w:ind w:right="141"/>
        <w:jc w:val="both"/>
        <w:rPr>
          <w:rFonts w:ascii="Arial" w:hAnsi="Arial" w:cs="Arial"/>
          <w:bCs/>
        </w:rPr>
      </w:pPr>
      <w:r>
        <w:rPr>
          <w:rFonts w:ascii="Arial" w:hAnsi="Arial" w:cs="Arial"/>
          <w:bCs/>
        </w:rPr>
        <w:t>6</w:t>
      </w:r>
      <w:r w:rsidR="00CB31BD" w:rsidRPr="00562742">
        <w:rPr>
          <w:rFonts w:ascii="Arial" w:hAnsi="Arial" w:cs="Arial"/>
          <w:bCs/>
        </w:rPr>
        <w:t xml:space="preserve">. Examinar que los ingresos por concepto de </w:t>
      </w:r>
      <w:r w:rsidR="00CB31BD">
        <w:rPr>
          <w:rFonts w:ascii="Arial" w:hAnsi="Arial" w:cs="Arial"/>
          <w:bCs/>
        </w:rPr>
        <w:t>venta de reserva territorial, cartera vencida y arrendamientos</w:t>
      </w:r>
      <w:r>
        <w:rPr>
          <w:rFonts w:ascii="Arial" w:hAnsi="Arial" w:cs="Arial"/>
          <w:bCs/>
        </w:rPr>
        <w:t xml:space="preserve">, se hayan recaudado y </w:t>
      </w:r>
      <w:r w:rsidR="00CB31BD" w:rsidRPr="00562742">
        <w:rPr>
          <w:rFonts w:ascii="Arial" w:hAnsi="Arial" w:cs="Arial"/>
          <w:bCs/>
        </w:rPr>
        <w:t>registrado en la forma y términos establecidos por la normatividad.</w:t>
      </w:r>
    </w:p>
    <w:p w14:paraId="7A031E5B" w14:textId="22E0AC96" w:rsidR="00B32E18" w:rsidRDefault="00B32E18" w:rsidP="00CB31BD">
      <w:pPr>
        <w:tabs>
          <w:tab w:val="left" w:pos="9498"/>
        </w:tabs>
        <w:spacing w:line="360" w:lineRule="auto"/>
        <w:ind w:right="141"/>
        <w:jc w:val="both"/>
        <w:rPr>
          <w:rFonts w:ascii="Arial" w:hAnsi="Arial" w:cs="Arial"/>
          <w:bCs/>
        </w:rPr>
      </w:pPr>
    </w:p>
    <w:p w14:paraId="2049AA92" w14:textId="29BBB660" w:rsidR="00B32E18" w:rsidRPr="00562742" w:rsidRDefault="00B32E18" w:rsidP="00CB31BD">
      <w:pPr>
        <w:tabs>
          <w:tab w:val="left" w:pos="9498"/>
        </w:tabs>
        <w:spacing w:line="360" w:lineRule="auto"/>
        <w:ind w:right="141"/>
        <w:jc w:val="both"/>
        <w:rPr>
          <w:rFonts w:ascii="Arial" w:hAnsi="Arial" w:cs="Arial"/>
          <w:bCs/>
        </w:rPr>
      </w:pPr>
      <w:r>
        <w:rPr>
          <w:rFonts w:ascii="Arial" w:hAnsi="Arial" w:cs="Arial"/>
          <w:bCs/>
        </w:rPr>
        <w:lastRenderedPageBreak/>
        <w:t xml:space="preserve">7. Constatar que los expedientes administrativos por ventas de reservas cuenten con la documentación establecida en los </w:t>
      </w:r>
      <w:r w:rsidRPr="00B32E18">
        <w:rPr>
          <w:rFonts w:ascii="Arial" w:hAnsi="Arial" w:cs="Arial"/>
          <w:bCs/>
        </w:rPr>
        <w:t>Criterios para la Disposición y Administración de los Bienes Inmuebles de Dominio Privado del Estado e Integración de los Expedientes Administrativos establecidos por el Comité Técnico Asesor de la Agencia de Proyectos Estratégicos del Estado de Quintana Roo</w:t>
      </w:r>
      <w:r>
        <w:rPr>
          <w:rFonts w:ascii="Arial" w:hAnsi="Arial" w:cs="Arial"/>
          <w:bCs/>
        </w:rPr>
        <w:t>.</w:t>
      </w:r>
    </w:p>
    <w:p w14:paraId="48E5A88B" w14:textId="77777777" w:rsidR="00FA27D9" w:rsidRPr="00F45E51" w:rsidRDefault="00FA27D9" w:rsidP="00B73486">
      <w:pPr>
        <w:spacing w:line="360" w:lineRule="auto"/>
        <w:ind w:right="141"/>
        <w:jc w:val="both"/>
        <w:rPr>
          <w:rFonts w:ascii="Arial" w:hAnsi="Arial" w:cs="Arial"/>
          <w:bCs/>
          <w:sz w:val="20"/>
          <w:szCs w:val="20"/>
          <w:lang w:val="es-ES"/>
        </w:rPr>
      </w:pPr>
    </w:p>
    <w:p w14:paraId="729AD3FF" w14:textId="400CA8C8" w:rsidR="008610C0" w:rsidRPr="00C47B98" w:rsidRDefault="008610C0" w:rsidP="00B73486">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601F6D" w:rsidRDefault="00F64F30" w:rsidP="00B73486">
      <w:pPr>
        <w:spacing w:line="360" w:lineRule="auto"/>
        <w:ind w:right="141"/>
        <w:jc w:val="both"/>
        <w:rPr>
          <w:rFonts w:ascii="Arial" w:hAnsi="Arial" w:cs="Arial"/>
          <w:b/>
          <w:sz w:val="16"/>
          <w:szCs w:val="16"/>
          <w:highlight w:val="darkYellow"/>
        </w:rPr>
      </w:pPr>
    </w:p>
    <w:p w14:paraId="4A1FF583" w14:textId="7511ECD6" w:rsidR="00974042" w:rsidRPr="002E2A36" w:rsidRDefault="008610C0" w:rsidP="00B73486">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601F6D" w:rsidRDefault="00D1152D" w:rsidP="00B73486">
      <w:pPr>
        <w:spacing w:line="360" w:lineRule="auto"/>
        <w:ind w:right="141"/>
        <w:jc w:val="both"/>
        <w:rPr>
          <w:rFonts w:ascii="Arial" w:hAnsi="Arial" w:cs="Arial"/>
          <w:bCs/>
          <w:sz w:val="16"/>
          <w:szCs w:val="16"/>
        </w:rPr>
      </w:pPr>
    </w:p>
    <w:p w14:paraId="5DE7FC59" w14:textId="798B6626" w:rsidR="00855650" w:rsidRDefault="00855650" w:rsidP="00B73486">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997CEC" w:rsidRPr="00997CEC">
        <w:rPr>
          <w:rFonts w:ascii="Arial" w:hAnsi="Arial" w:cs="Arial"/>
          <w:bCs/>
        </w:rPr>
        <w:t>ASEQROO/ASE/AEMF/968/08/2022</w:t>
      </w:r>
      <w:r w:rsidR="00406F79" w:rsidRPr="005539C6">
        <w:rPr>
          <w:rFonts w:ascii="Arial" w:hAnsi="Arial" w:cs="Arial"/>
          <w:bCs/>
        </w:rPr>
        <w:t>,</w:t>
      </w:r>
      <w:r w:rsidR="00406F79">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1052D541" w14:textId="77777777" w:rsidR="00CF3871" w:rsidRPr="00601F6D" w:rsidRDefault="00CF3871" w:rsidP="00B73486">
      <w:pPr>
        <w:spacing w:line="360" w:lineRule="auto"/>
        <w:ind w:right="141"/>
        <w:jc w:val="both"/>
        <w:rPr>
          <w:rFonts w:ascii="Arial" w:hAnsi="Arial" w:cs="Arial"/>
          <w:bCs/>
          <w:sz w:val="10"/>
          <w:szCs w:val="1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5B1A" w14:paraId="3892B032" w14:textId="77777777" w:rsidTr="00BD0009">
        <w:trPr>
          <w:tblHeader/>
          <w:jc w:val="center"/>
        </w:trPr>
        <w:tc>
          <w:tcPr>
            <w:tcW w:w="6374" w:type="dxa"/>
            <w:shd w:val="clear" w:color="auto" w:fill="D0CECE" w:themeFill="background2" w:themeFillShade="E6"/>
          </w:tcPr>
          <w:p w14:paraId="61D04203" w14:textId="77777777" w:rsidR="00406F79" w:rsidRPr="00845B1A" w:rsidRDefault="00406F79" w:rsidP="00B73486">
            <w:pPr>
              <w:spacing w:line="360" w:lineRule="auto"/>
              <w:ind w:right="141"/>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B73486">
            <w:pPr>
              <w:spacing w:line="360" w:lineRule="auto"/>
              <w:ind w:right="141"/>
              <w:jc w:val="center"/>
              <w:rPr>
                <w:rFonts w:ascii="Arial" w:hAnsi="Arial" w:cs="Arial"/>
                <w:b/>
                <w:bCs/>
              </w:rPr>
            </w:pPr>
            <w:r w:rsidRPr="00845B1A">
              <w:rPr>
                <w:rFonts w:ascii="Arial" w:hAnsi="Arial" w:cs="Arial"/>
                <w:b/>
                <w:bCs/>
              </w:rPr>
              <w:t>Cargo</w:t>
            </w:r>
          </w:p>
        </w:tc>
      </w:tr>
      <w:tr w:rsidR="00406F79" w:rsidRPr="00845B1A" w14:paraId="68A1DE4F" w14:textId="77777777" w:rsidTr="00BD0009">
        <w:trPr>
          <w:jc w:val="center"/>
        </w:trPr>
        <w:tc>
          <w:tcPr>
            <w:tcW w:w="6374" w:type="dxa"/>
            <w:shd w:val="clear" w:color="auto" w:fill="auto"/>
          </w:tcPr>
          <w:p w14:paraId="6E7E42C1" w14:textId="0B1D7557" w:rsidR="00406F79" w:rsidRPr="00845B1A" w:rsidRDefault="00BC650E" w:rsidP="00B73486">
            <w:pPr>
              <w:spacing w:line="360" w:lineRule="auto"/>
              <w:ind w:right="141"/>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406F79">
              <w:rPr>
                <w:rFonts w:ascii="Arial" w:hAnsi="Arial" w:cs="Arial"/>
                <w:bCs/>
              </w:rPr>
              <w:t xml:space="preserve"> Adelaida Hernández Marcial</w:t>
            </w:r>
          </w:p>
        </w:tc>
        <w:tc>
          <w:tcPr>
            <w:tcW w:w="2977" w:type="dxa"/>
            <w:shd w:val="clear" w:color="auto" w:fill="auto"/>
          </w:tcPr>
          <w:p w14:paraId="7CD3E916" w14:textId="6EE0AE86" w:rsidR="00406F79" w:rsidRPr="00845B1A" w:rsidRDefault="00406F79" w:rsidP="00BC650E">
            <w:pPr>
              <w:spacing w:line="360" w:lineRule="auto"/>
              <w:ind w:right="141"/>
              <w:rPr>
                <w:rFonts w:ascii="Arial" w:hAnsi="Arial" w:cs="Arial"/>
                <w:bCs/>
              </w:rPr>
            </w:pPr>
            <w:r w:rsidRPr="00845B1A">
              <w:rPr>
                <w:rFonts w:ascii="Arial" w:hAnsi="Arial" w:cs="Arial"/>
                <w:bCs/>
              </w:rPr>
              <w:t>Coordinador</w:t>
            </w:r>
            <w:r w:rsidR="00BC650E">
              <w:rPr>
                <w:rFonts w:ascii="Arial" w:hAnsi="Arial" w:cs="Arial"/>
                <w:bCs/>
              </w:rPr>
              <w:t>a</w:t>
            </w:r>
          </w:p>
        </w:tc>
      </w:tr>
      <w:tr w:rsidR="00406F79" w:rsidRPr="00845B1A" w14:paraId="3923785F" w14:textId="77777777" w:rsidTr="00BD0009">
        <w:trPr>
          <w:jc w:val="center"/>
        </w:trPr>
        <w:tc>
          <w:tcPr>
            <w:tcW w:w="6374" w:type="dxa"/>
            <w:shd w:val="clear" w:color="auto" w:fill="auto"/>
          </w:tcPr>
          <w:p w14:paraId="24DA7D81" w14:textId="7CD27224" w:rsidR="00406F79" w:rsidRPr="00845B1A" w:rsidRDefault="00733F26" w:rsidP="00BC650E">
            <w:pPr>
              <w:spacing w:line="360" w:lineRule="auto"/>
              <w:ind w:right="141"/>
              <w:rPr>
                <w:rFonts w:ascii="Arial" w:hAnsi="Arial" w:cs="Arial"/>
                <w:bCs/>
              </w:rPr>
            </w:pPr>
            <w:r>
              <w:rPr>
                <w:rFonts w:ascii="Arial" w:hAnsi="Arial" w:cs="Arial"/>
              </w:rPr>
              <w:t>L</w:t>
            </w:r>
            <w:r w:rsidR="003D68C2">
              <w:rPr>
                <w:rFonts w:ascii="Arial" w:hAnsi="Arial" w:cs="Arial"/>
              </w:rPr>
              <w:t>.</w:t>
            </w:r>
            <w:r>
              <w:rPr>
                <w:rFonts w:ascii="Arial" w:hAnsi="Arial" w:cs="Arial"/>
              </w:rPr>
              <w:t>C.</w:t>
            </w:r>
            <w:r w:rsidR="00BC650E">
              <w:rPr>
                <w:rFonts w:ascii="Arial" w:hAnsi="Arial" w:cs="Arial"/>
              </w:rPr>
              <w:t xml:space="preserve"> María Victoria Ochoa Muñoz</w:t>
            </w:r>
          </w:p>
        </w:tc>
        <w:tc>
          <w:tcPr>
            <w:tcW w:w="2977" w:type="dxa"/>
            <w:shd w:val="clear" w:color="auto" w:fill="auto"/>
          </w:tcPr>
          <w:p w14:paraId="6D0D7A8E" w14:textId="4CC99480" w:rsidR="00406F79" w:rsidRPr="00845B1A" w:rsidRDefault="00406F79" w:rsidP="00BC650E">
            <w:pPr>
              <w:spacing w:line="360" w:lineRule="auto"/>
              <w:ind w:right="141"/>
              <w:rPr>
                <w:rFonts w:ascii="Arial" w:hAnsi="Arial" w:cs="Arial"/>
                <w:bCs/>
              </w:rPr>
            </w:pPr>
            <w:r w:rsidRPr="00845B1A">
              <w:rPr>
                <w:rFonts w:ascii="Arial" w:hAnsi="Arial" w:cs="Arial"/>
                <w:bCs/>
              </w:rPr>
              <w:t>Supervisor</w:t>
            </w:r>
            <w:r w:rsidR="00BC650E">
              <w:rPr>
                <w:rFonts w:ascii="Arial" w:hAnsi="Arial" w:cs="Arial"/>
                <w:bCs/>
              </w:rPr>
              <w:t>a</w:t>
            </w:r>
          </w:p>
        </w:tc>
      </w:tr>
    </w:tbl>
    <w:p w14:paraId="0AC8B2BB" w14:textId="7002CDA4" w:rsidR="002E1AEF" w:rsidRDefault="002E1AEF" w:rsidP="00B73486">
      <w:pPr>
        <w:spacing w:line="360" w:lineRule="auto"/>
        <w:ind w:right="141"/>
        <w:jc w:val="both"/>
        <w:rPr>
          <w:rFonts w:ascii="Arial" w:hAnsi="Arial" w:cs="Arial"/>
          <w:b/>
        </w:rPr>
      </w:pPr>
    </w:p>
    <w:p w14:paraId="507D5E3D" w14:textId="77777777" w:rsidR="00615C7A" w:rsidRPr="00845B1A" w:rsidRDefault="005F7A39" w:rsidP="00B73486">
      <w:pPr>
        <w:spacing w:line="360" w:lineRule="auto"/>
        <w:ind w:right="141"/>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36E9" w:rsidRDefault="005E4A7A" w:rsidP="00B73486">
      <w:pPr>
        <w:spacing w:line="360" w:lineRule="auto"/>
        <w:ind w:right="141"/>
        <w:jc w:val="both"/>
        <w:rPr>
          <w:rFonts w:ascii="Arial" w:hAnsi="Arial" w:cs="Arial"/>
          <w:sz w:val="16"/>
          <w:szCs w:val="16"/>
        </w:rPr>
      </w:pPr>
    </w:p>
    <w:p w14:paraId="7A9A4284" w14:textId="61689CA5" w:rsidR="00BC7D12" w:rsidRPr="00406F79" w:rsidRDefault="00BC7D12" w:rsidP="00B73486">
      <w:pPr>
        <w:tabs>
          <w:tab w:val="left" w:pos="2160"/>
        </w:tabs>
        <w:spacing w:line="360" w:lineRule="auto"/>
        <w:ind w:right="141"/>
        <w:jc w:val="both"/>
      </w:pPr>
      <w:r w:rsidRPr="00BC7D12">
        <w:rPr>
          <w:rFonts w:ascii="Arial" w:hAnsi="Arial" w:cs="Arial"/>
          <w:bCs/>
        </w:rPr>
        <w:t xml:space="preserve">La revisión se llevó a cabo aplicando Normas Profesionales de Auditoría del Sistema Nacional de Fiscalización, así como en apego a la Ley General de Contabilidad </w:t>
      </w:r>
      <w:r w:rsidRPr="00BC7D12">
        <w:rPr>
          <w:rFonts w:ascii="Arial" w:hAnsi="Arial" w:cs="Arial"/>
          <w:bCs/>
        </w:rPr>
        <w:lastRenderedPageBreak/>
        <w:t>Gubernamental, Presupuesto de Ingresos de</w:t>
      </w:r>
      <w:r w:rsidR="004B5810">
        <w:rPr>
          <w:rFonts w:ascii="Arial" w:hAnsi="Arial" w:cs="Arial"/>
          <w:bCs/>
        </w:rPr>
        <w:t xml:space="preserve"> </w:t>
      </w:r>
      <w:r w:rsidRPr="00BC7D12">
        <w:rPr>
          <w:rFonts w:ascii="Arial" w:hAnsi="Arial" w:cs="Arial"/>
          <w:bCs/>
        </w:rPr>
        <w:t>l</w:t>
      </w:r>
      <w:r w:rsidR="004B5810">
        <w:rPr>
          <w:rFonts w:ascii="Arial" w:hAnsi="Arial" w:cs="Arial"/>
          <w:bCs/>
        </w:rPr>
        <w:t xml:space="preserve">a </w:t>
      </w:r>
      <w:r w:rsidR="00AB2875">
        <w:rPr>
          <w:rFonts w:ascii="Arial" w:hAnsi="Arial" w:cs="Arial"/>
          <w:bCs/>
        </w:rPr>
        <w:t>Agencia de Proyectos Estratégicos del Estado de Quintana Roo</w:t>
      </w:r>
      <w:r w:rsidRPr="00BC7D12">
        <w:rPr>
          <w:rFonts w:ascii="Arial" w:hAnsi="Arial" w:cs="Arial"/>
          <w:bCs/>
        </w:rPr>
        <w:t xml:space="preserve"> para el ejercicio fiscal 20</w:t>
      </w:r>
      <w:r>
        <w:rPr>
          <w:rFonts w:ascii="Arial" w:hAnsi="Arial" w:cs="Arial"/>
          <w:bCs/>
        </w:rPr>
        <w:t>2</w:t>
      </w:r>
      <w:r w:rsidR="00997CEC">
        <w:rPr>
          <w:rFonts w:ascii="Arial" w:hAnsi="Arial" w:cs="Arial"/>
          <w:bCs/>
        </w:rPr>
        <w:t>1</w:t>
      </w:r>
      <w:r w:rsidRPr="00BC7D12">
        <w:rPr>
          <w:rFonts w:ascii="Arial" w:hAnsi="Arial" w:cs="Arial"/>
          <w:bCs/>
        </w:rPr>
        <w:t xml:space="preserve"> y lo emitido por el Consejo Nacional de Armonización Contable (CONAC), dando cumplimiento a las diversas disposiciones legales y normativas aplicables, </w:t>
      </w:r>
      <w:r w:rsidR="009F54FE" w:rsidRPr="009F54FE">
        <w:rPr>
          <w:rFonts w:ascii="Arial" w:hAnsi="Arial" w:cs="Arial"/>
          <w:bCs/>
        </w:rPr>
        <w:t xml:space="preserve">en apego al artículo 38 fracción III de la Ley de Fiscalización y Rendición de Cuentas del Estado de Quintana Roo; </w:t>
      </w:r>
      <w:r w:rsidRPr="00BC7D12">
        <w:rPr>
          <w:rFonts w:ascii="Arial" w:hAnsi="Arial" w:cs="Arial"/>
          <w:bC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36E9" w:rsidRDefault="000F3999" w:rsidP="00B73486">
      <w:pPr>
        <w:spacing w:line="360" w:lineRule="auto"/>
        <w:ind w:right="141"/>
        <w:jc w:val="both"/>
        <w:rPr>
          <w:rFonts w:ascii="Arial" w:hAnsi="Arial" w:cs="Arial"/>
          <w:sz w:val="20"/>
          <w:szCs w:val="20"/>
        </w:rPr>
      </w:pPr>
    </w:p>
    <w:p w14:paraId="0DCC42EC" w14:textId="0F51CB2C" w:rsidR="00F87946" w:rsidRDefault="00212E90" w:rsidP="00B73486">
      <w:pPr>
        <w:spacing w:line="360" w:lineRule="auto"/>
        <w:ind w:right="141"/>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D00F76" w:rsidRDefault="003F4C47" w:rsidP="00B73486">
      <w:pPr>
        <w:spacing w:line="360" w:lineRule="auto"/>
        <w:ind w:right="141"/>
        <w:jc w:val="both"/>
        <w:rPr>
          <w:rFonts w:ascii="Arial" w:hAnsi="Arial" w:cs="Arial"/>
          <w:b/>
          <w:sz w:val="16"/>
          <w:szCs w:val="16"/>
        </w:rPr>
      </w:pPr>
    </w:p>
    <w:p w14:paraId="6460A168" w14:textId="6D46EB8C" w:rsidR="00BC7D12" w:rsidRDefault="00BC7D12" w:rsidP="00B73486">
      <w:pPr>
        <w:spacing w:line="360" w:lineRule="auto"/>
        <w:ind w:right="141"/>
        <w:jc w:val="both"/>
        <w:rPr>
          <w:rFonts w:ascii="Arial" w:hAnsi="Arial" w:cs="Arial"/>
          <w:bCs/>
        </w:rPr>
      </w:pPr>
      <w:r w:rsidRPr="001877A0">
        <w:rPr>
          <w:rFonts w:ascii="Arial" w:hAnsi="Arial" w:cs="Arial"/>
          <w:bCs/>
          <w:iCs/>
          <w:shd w:val="clear" w:color="auto" w:fill="FFFFFF" w:themeFill="background1"/>
        </w:rPr>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w:t>
      </w:r>
      <w:r w:rsidR="00AC3CAD">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l</w:t>
      </w:r>
      <w:r w:rsidR="00AC3CAD">
        <w:rPr>
          <w:rFonts w:ascii="Arial" w:hAnsi="Arial" w:cs="Arial"/>
          <w:bCs/>
          <w:iCs/>
          <w:shd w:val="clear" w:color="auto" w:fill="FFFFFF" w:themeFill="background1"/>
        </w:rPr>
        <w:t>a</w:t>
      </w:r>
      <w:r w:rsidRPr="001877A0">
        <w:rPr>
          <w:rFonts w:ascii="Arial" w:hAnsi="Arial" w:cs="Arial"/>
          <w:bCs/>
          <w:iCs/>
          <w:shd w:val="clear" w:color="auto" w:fill="FFFFFF" w:themeFill="background1"/>
        </w:rPr>
        <w:t xml:space="preserve"> </w:t>
      </w:r>
      <w:r w:rsidR="00AB2875">
        <w:rPr>
          <w:rFonts w:ascii="Arial" w:hAnsi="Arial" w:cs="Arial"/>
          <w:bCs/>
        </w:rPr>
        <w:t>Agencia de Proyectos Estratégicos del Estado de Quintana Roo</w:t>
      </w:r>
      <w:r w:rsidRPr="00024164">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para el ejercicio fiscal 20</w:t>
      </w:r>
      <w:r w:rsidR="00997CEC">
        <w:rPr>
          <w:rFonts w:ascii="Arial" w:hAnsi="Arial" w:cs="Arial"/>
          <w:bCs/>
          <w:iCs/>
          <w:shd w:val="clear" w:color="auto" w:fill="FFFFFF" w:themeFill="background1"/>
        </w:rPr>
        <w:t>21</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sidR="00AF7185">
        <w:rPr>
          <w:rFonts w:ascii="Arial" w:hAnsi="Arial" w:cs="Arial"/>
          <w:bCs/>
          <w:iCs/>
          <w:shd w:val="clear" w:color="auto" w:fill="FFFFFF" w:themeFill="background1"/>
        </w:rPr>
        <w:t>.</w:t>
      </w:r>
    </w:p>
    <w:p w14:paraId="45CDA2B5" w14:textId="77777777" w:rsidR="00F45E51" w:rsidRDefault="00F45E51" w:rsidP="00B73486">
      <w:pPr>
        <w:spacing w:line="360" w:lineRule="auto"/>
        <w:ind w:right="141"/>
        <w:jc w:val="both"/>
        <w:rPr>
          <w:rFonts w:ascii="Arial" w:hAnsi="Arial" w:cs="Arial"/>
          <w:bCs/>
          <w:iCs/>
          <w:shd w:val="clear" w:color="auto" w:fill="FFFFFF" w:themeFill="background1"/>
        </w:rPr>
      </w:pPr>
    </w:p>
    <w:p w14:paraId="709275CB" w14:textId="171ECDF0" w:rsidR="00F326F4" w:rsidRPr="00A05588" w:rsidRDefault="00B93E82" w:rsidP="00B73486">
      <w:pPr>
        <w:spacing w:line="360" w:lineRule="auto"/>
        <w:ind w:right="141"/>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8436E9" w:rsidRDefault="008443FB" w:rsidP="00B73486">
      <w:pPr>
        <w:spacing w:line="360" w:lineRule="auto"/>
        <w:ind w:right="141"/>
        <w:jc w:val="both"/>
        <w:rPr>
          <w:rFonts w:ascii="Arial" w:hAnsi="Arial" w:cs="Arial"/>
        </w:rPr>
      </w:pPr>
    </w:p>
    <w:p w14:paraId="35A32CCA" w14:textId="134340D0" w:rsidR="00761FA3" w:rsidRPr="005604F7" w:rsidRDefault="00183532" w:rsidP="00B73486">
      <w:pPr>
        <w:tabs>
          <w:tab w:val="left" w:pos="2160"/>
        </w:tabs>
        <w:spacing w:line="360" w:lineRule="auto"/>
        <w:ind w:right="141"/>
        <w:jc w:val="both"/>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38</w:t>
      </w:r>
      <w:r w:rsidR="00DA555A">
        <w:rPr>
          <w:rFonts w:ascii="Arial" w:hAnsi="Arial" w:cs="Arial"/>
        </w:rPr>
        <w:t xml:space="preserve"> fracción IV</w:t>
      </w:r>
      <w:r w:rsidR="007127B3" w:rsidRPr="00406F79">
        <w:rPr>
          <w:rFonts w:ascii="Arial" w:hAnsi="Arial" w:cs="Arial"/>
        </w:rPr>
        <w:t xml:space="preserve">,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61 párrafo primero de la Ley de Fiscalización y Rendición de Cuentas del Estado 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11" w:name="_Hlk11408938"/>
      <w:r w:rsidR="00AC1182" w:rsidRPr="00646DFA">
        <w:rPr>
          <w:rFonts w:ascii="Arial" w:hAnsi="Arial" w:cs="Arial"/>
        </w:rPr>
        <w:t xml:space="preserve">se </w:t>
      </w:r>
      <w:r w:rsidR="00AC1182" w:rsidRPr="00AF7185">
        <w:rPr>
          <w:rFonts w:ascii="Arial" w:hAnsi="Arial" w:cs="Arial"/>
        </w:rPr>
        <w:t xml:space="preserve">presentaron </w:t>
      </w:r>
      <w:bookmarkStart w:id="12" w:name="_Hlk11408885"/>
      <w:r w:rsidR="00AF7185" w:rsidRPr="00AF7185">
        <w:rPr>
          <w:rFonts w:ascii="Arial" w:hAnsi="Arial" w:cs="Arial"/>
          <w:b/>
        </w:rPr>
        <w:t>4</w:t>
      </w:r>
      <w:r w:rsidR="00B03571" w:rsidRPr="00AF7185">
        <w:rPr>
          <w:rFonts w:ascii="Arial" w:hAnsi="Arial" w:cs="Arial"/>
          <w:b/>
        </w:rPr>
        <w:t xml:space="preserve"> </w:t>
      </w:r>
      <w:r w:rsidR="00AC1182" w:rsidRPr="00AF7185">
        <w:rPr>
          <w:rFonts w:ascii="Arial" w:hAnsi="Arial" w:cs="Arial"/>
        </w:rPr>
        <w:t xml:space="preserve">resultados </w:t>
      </w:r>
      <w:bookmarkStart w:id="13" w:name="_Hlk11360245"/>
      <w:r w:rsidR="00AC1182" w:rsidRPr="00AF7185">
        <w:rPr>
          <w:rFonts w:ascii="Arial" w:hAnsi="Arial" w:cs="Arial"/>
        </w:rPr>
        <w:t xml:space="preserve">finales de auditoría </w:t>
      </w:r>
      <w:bookmarkEnd w:id="13"/>
      <w:r w:rsidR="00AC1182" w:rsidRPr="00AF7185">
        <w:rPr>
          <w:rFonts w:ascii="Arial" w:hAnsi="Arial" w:cs="Arial"/>
        </w:rPr>
        <w:t xml:space="preserve">y se determinaron </w:t>
      </w:r>
      <w:r w:rsidR="00AF7185" w:rsidRPr="00AF7185">
        <w:rPr>
          <w:rFonts w:ascii="Arial" w:hAnsi="Arial" w:cs="Arial"/>
          <w:b/>
        </w:rPr>
        <w:t>6</w:t>
      </w:r>
      <w:r w:rsidR="00B03571" w:rsidRPr="00AF7185">
        <w:rPr>
          <w:rFonts w:ascii="Arial" w:hAnsi="Arial" w:cs="Arial"/>
        </w:rPr>
        <w:t xml:space="preserve"> </w:t>
      </w:r>
      <w:r w:rsidR="00406F79" w:rsidRPr="00AF7185">
        <w:rPr>
          <w:rFonts w:ascii="Arial" w:hAnsi="Arial" w:cs="Arial"/>
        </w:rPr>
        <w:t>observaciones, de las cuales</w:t>
      </w:r>
      <w:r w:rsidR="00AF7185" w:rsidRPr="00AF7185">
        <w:rPr>
          <w:rFonts w:ascii="Arial" w:hAnsi="Arial" w:cs="Arial"/>
        </w:rPr>
        <w:t xml:space="preserve"> todas fueron solventadas</w:t>
      </w:r>
      <w:r w:rsidR="00780419">
        <w:rPr>
          <w:rFonts w:ascii="Arial" w:hAnsi="Arial" w:cs="Arial"/>
        </w:rPr>
        <w:t xml:space="preserve">, sin embargo como medida de fortalecimiento al control interno de la Agencia se emiten </w:t>
      </w:r>
      <w:r w:rsidR="006D44CC">
        <w:rPr>
          <w:rFonts w:ascii="Arial" w:hAnsi="Arial" w:cs="Arial"/>
          <w:b/>
        </w:rPr>
        <w:t>4</w:t>
      </w:r>
      <w:r w:rsidR="00780419">
        <w:rPr>
          <w:rFonts w:ascii="Arial" w:hAnsi="Arial" w:cs="Arial"/>
        </w:rPr>
        <w:t xml:space="preserve"> Recomendaciones</w:t>
      </w:r>
      <w:r w:rsidR="00AF7185" w:rsidRPr="00AF7185">
        <w:rPr>
          <w:rFonts w:ascii="Arial" w:hAnsi="Arial" w:cs="Arial"/>
        </w:rPr>
        <w:t>.</w:t>
      </w:r>
      <w:r w:rsidR="00406F79" w:rsidRPr="00AF7185">
        <w:rPr>
          <w:rFonts w:ascii="Arial" w:hAnsi="Arial" w:cs="Arial"/>
        </w:rPr>
        <w:t xml:space="preserve"> </w:t>
      </w:r>
    </w:p>
    <w:p w14:paraId="41B549EB" w14:textId="77777777" w:rsidR="00583F73" w:rsidRDefault="00583F73" w:rsidP="00B73486">
      <w:pPr>
        <w:spacing w:line="360" w:lineRule="auto"/>
        <w:ind w:right="141"/>
        <w:jc w:val="both"/>
        <w:rPr>
          <w:rFonts w:ascii="Arial" w:hAnsi="Arial" w:cs="Arial"/>
        </w:rPr>
      </w:pPr>
    </w:p>
    <w:bookmarkEnd w:id="11"/>
    <w:bookmarkEnd w:id="12"/>
    <w:p w14:paraId="48F04B82" w14:textId="68B24CCF" w:rsidR="002F7D2D" w:rsidRDefault="002F7D2D" w:rsidP="00B73486">
      <w:pPr>
        <w:spacing w:line="360" w:lineRule="auto"/>
        <w:ind w:right="141"/>
        <w:jc w:val="both"/>
        <w:rPr>
          <w:rFonts w:ascii="Arial" w:hAnsi="Arial" w:cs="Arial"/>
          <w:b/>
        </w:rPr>
      </w:pPr>
      <w:r w:rsidRPr="00147304">
        <w:rPr>
          <w:rFonts w:ascii="Arial" w:hAnsi="Arial" w:cs="Arial"/>
          <w:b/>
        </w:rPr>
        <w:t xml:space="preserve">A. </w:t>
      </w:r>
      <w:bookmarkStart w:id="14"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4"/>
      <w:r w:rsidR="002B0048">
        <w:rPr>
          <w:rFonts w:ascii="Arial" w:hAnsi="Arial" w:cs="Arial"/>
          <w:b/>
        </w:rPr>
        <w:t xml:space="preserve">, </w:t>
      </w:r>
      <w:r w:rsidR="002B0048" w:rsidRPr="002B0048">
        <w:rPr>
          <w:rFonts w:ascii="Arial" w:hAnsi="Arial" w:cs="Arial"/>
          <w:b/>
        </w:rPr>
        <w:t>Acciones y Recomendaciones Emitidas</w:t>
      </w:r>
    </w:p>
    <w:p w14:paraId="1B398C93" w14:textId="77777777" w:rsidR="00D9360D" w:rsidRPr="008436E9" w:rsidRDefault="00D9360D" w:rsidP="00B73486">
      <w:pPr>
        <w:spacing w:line="360" w:lineRule="auto"/>
        <w:ind w:right="141"/>
        <w:jc w:val="both"/>
        <w:rPr>
          <w:rFonts w:ascii="Arial" w:hAnsi="Arial" w:cs="Arial"/>
          <w:b/>
        </w:rPr>
      </w:pPr>
    </w:p>
    <w:p w14:paraId="6402FB82" w14:textId="02325CB5" w:rsidR="00640CCA" w:rsidRDefault="00DA555A" w:rsidP="00B73486">
      <w:pPr>
        <w:spacing w:line="360" w:lineRule="auto"/>
        <w:ind w:right="141"/>
        <w:jc w:val="both"/>
        <w:rPr>
          <w:rFonts w:ascii="Arial" w:hAnsi="Arial" w:cs="Arial"/>
        </w:rPr>
      </w:pPr>
      <w:bookmarkStart w:id="15" w:name="_Hlk11361172"/>
      <w:r w:rsidRPr="00DA555A">
        <w:rPr>
          <w:rFonts w:ascii="Arial" w:hAnsi="Arial" w:cs="Arial"/>
        </w:rPr>
        <w:t xml:space="preserve">En cumplimiento al artículo 38 fracción V de la Ley de Fiscalización y Rendición de Cuentas del Estado de Quintana Roo, y </w:t>
      </w:r>
      <w:r>
        <w:rPr>
          <w:rFonts w:ascii="Arial" w:hAnsi="Arial" w:cs="Arial"/>
        </w:rPr>
        <w:t>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p w14:paraId="5582E044" w14:textId="6D6D5FD5" w:rsidR="006E2CAB" w:rsidRDefault="006E2CAB" w:rsidP="00B73486">
      <w:pPr>
        <w:spacing w:line="360" w:lineRule="auto"/>
        <w:ind w:right="141"/>
        <w:jc w:val="both"/>
        <w:rPr>
          <w:rFonts w:ascii="Arial" w:hAnsi="Arial" w:cs="Arial"/>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6"/>
        <w:gridCol w:w="2835"/>
        <w:gridCol w:w="3118"/>
        <w:gridCol w:w="1980"/>
      </w:tblGrid>
      <w:tr w:rsidR="006E2CAB" w:rsidRPr="003C5A18" w14:paraId="0F3B07A4" w14:textId="060E5666" w:rsidTr="006E2CAB">
        <w:trPr>
          <w:tblHeader/>
          <w:jc w:val="center"/>
        </w:trPr>
        <w:tc>
          <w:tcPr>
            <w:tcW w:w="881" w:type="pct"/>
            <w:shd w:val="clear" w:color="auto" w:fill="D0CECE" w:themeFill="background2" w:themeFillShade="E6"/>
            <w:vAlign w:val="center"/>
          </w:tcPr>
          <w:p w14:paraId="4C68FBE9" w14:textId="77777777" w:rsidR="006E2CAB" w:rsidRPr="003C5A18" w:rsidRDefault="006E2CAB" w:rsidP="00476B13">
            <w:pPr>
              <w:spacing w:line="360" w:lineRule="auto"/>
              <w:jc w:val="center"/>
              <w:rPr>
                <w:rFonts w:ascii="Arial" w:hAnsi="Arial" w:cs="Arial"/>
                <w:b/>
                <w:sz w:val="20"/>
                <w:szCs w:val="20"/>
              </w:rPr>
            </w:pPr>
            <w:r w:rsidRPr="003C5A18">
              <w:rPr>
                <w:rFonts w:ascii="Arial" w:hAnsi="Arial" w:cs="Arial"/>
                <w:b/>
                <w:sz w:val="20"/>
                <w:szCs w:val="20"/>
              </w:rPr>
              <w:t>Referencia</w:t>
            </w:r>
          </w:p>
        </w:tc>
        <w:tc>
          <w:tcPr>
            <w:tcW w:w="1472" w:type="pct"/>
            <w:shd w:val="clear" w:color="auto" w:fill="D0CECE" w:themeFill="background2" w:themeFillShade="E6"/>
            <w:vAlign w:val="center"/>
          </w:tcPr>
          <w:p w14:paraId="7294F342" w14:textId="77777777" w:rsidR="006E2CAB" w:rsidRPr="003C5A18" w:rsidRDefault="006E2CAB" w:rsidP="00476B13">
            <w:pPr>
              <w:spacing w:line="360" w:lineRule="auto"/>
              <w:jc w:val="center"/>
              <w:rPr>
                <w:rFonts w:ascii="Arial" w:hAnsi="Arial" w:cs="Arial"/>
                <w:b/>
                <w:sz w:val="20"/>
                <w:szCs w:val="20"/>
              </w:rPr>
            </w:pPr>
            <w:r w:rsidRPr="003C5A18">
              <w:rPr>
                <w:rFonts w:ascii="Arial" w:hAnsi="Arial" w:cs="Arial"/>
                <w:b/>
                <w:sz w:val="20"/>
                <w:szCs w:val="20"/>
              </w:rPr>
              <w:t>Concepto del Resultado</w:t>
            </w:r>
          </w:p>
        </w:tc>
        <w:tc>
          <w:tcPr>
            <w:tcW w:w="1619" w:type="pct"/>
            <w:shd w:val="clear" w:color="auto" w:fill="D0CECE" w:themeFill="background2" w:themeFillShade="E6"/>
            <w:vAlign w:val="center"/>
          </w:tcPr>
          <w:p w14:paraId="57450E1B" w14:textId="77777777" w:rsidR="006E2CAB" w:rsidRPr="003C5A18" w:rsidRDefault="006E2CAB" w:rsidP="00476B13">
            <w:pPr>
              <w:spacing w:line="360" w:lineRule="auto"/>
              <w:jc w:val="center"/>
              <w:rPr>
                <w:rFonts w:ascii="Arial" w:hAnsi="Arial" w:cs="Arial"/>
                <w:b/>
                <w:sz w:val="20"/>
                <w:szCs w:val="20"/>
              </w:rPr>
            </w:pPr>
            <w:r w:rsidRPr="003C5A18">
              <w:rPr>
                <w:rFonts w:ascii="Arial" w:hAnsi="Arial" w:cs="Arial"/>
                <w:b/>
                <w:sz w:val="20"/>
                <w:szCs w:val="20"/>
              </w:rPr>
              <w:t>Tipo de Observación</w:t>
            </w:r>
          </w:p>
        </w:tc>
        <w:tc>
          <w:tcPr>
            <w:tcW w:w="1028" w:type="pct"/>
            <w:shd w:val="clear" w:color="auto" w:fill="D0CECE" w:themeFill="background2" w:themeFillShade="E6"/>
          </w:tcPr>
          <w:p w14:paraId="1763831F" w14:textId="77777777" w:rsidR="006E2CAB" w:rsidRPr="00AF7185" w:rsidRDefault="006E2CAB" w:rsidP="006E2CAB">
            <w:pPr>
              <w:spacing w:line="276" w:lineRule="auto"/>
              <w:ind w:right="141"/>
              <w:jc w:val="center"/>
              <w:rPr>
                <w:rFonts w:ascii="Arial" w:hAnsi="Arial" w:cs="Arial"/>
                <w:b/>
                <w:bCs/>
                <w:sz w:val="18"/>
                <w:szCs w:val="18"/>
              </w:rPr>
            </w:pPr>
            <w:r w:rsidRPr="00AF7185">
              <w:rPr>
                <w:rFonts w:ascii="Arial" w:hAnsi="Arial" w:cs="Arial"/>
                <w:b/>
                <w:bCs/>
                <w:sz w:val="18"/>
                <w:szCs w:val="18"/>
              </w:rPr>
              <w:t>Monto Observado/</w:t>
            </w:r>
          </w:p>
          <w:p w14:paraId="6F153210" w14:textId="5FAA082A" w:rsidR="006E2CAB" w:rsidRPr="00AF7185" w:rsidRDefault="006E2CAB" w:rsidP="006E2CAB">
            <w:pPr>
              <w:spacing w:line="360" w:lineRule="auto"/>
              <w:jc w:val="center"/>
              <w:rPr>
                <w:rFonts w:ascii="Arial" w:hAnsi="Arial" w:cs="Arial"/>
                <w:b/>
                <w:sz w:val="20"/>
                <w:szCs w:val="20"/>
              </w:rPr>
            </w:pPr>
            <w:r w:rsidRPr="00AF7185">
              <w:rPr>
                <w:rFonts w:ascii="Arial" w:hAnsi="Arial" w:cs="Arial"/>
                <w:b/>
                <w:bCs/>
                <w:sz w:val="18"/>
                <w:szCs w:val="18"/>
              </w:rPr>
              <w:t>Acciones y Recomendaciones Emitidas</w:t>
            </w:r>
          </w:p>
        </w:tc>
      </w:tr>
      <w:tr w:rsidR="006E2CAB" w:rsidRPr="003C5A18" w14:paraId="3882A6CA" w14:textId="1B2E73B2" w:rsidTr="006E2CAB">
        <w:trPr>
          <w:jc w:val="center"/>
        </w:trPr>
        <w:tc>
          <w:tcPr>
            <w:tcW w:w="881" w:type="pct"/>
          </w:tcPr>
          <w:p w14:paraId="66A0CC48" w14:textId="77777777" w:rsidR="006E2CAB" w:rsidRPr="003C5A18" w:rsidRDefault="006E2CAB" w:rsidP="00476B13">
            <w:pPr>
              <w:spacing w:line="360" w:lineRule="auto"/>
              <w:ind w:left="29" w:right="32"/>
              <w:rPr>
                <w:rFonts w:ascii="Arial" w:hAnsi="Arial" w:cs="Arial"/>
                <w:sz w:val="20"/>
                <w:szCs w:val="20"/>
              </w:rPr>
            </w:pPr>
            <w:r w:rsidRPr="003C5A18">
              <w:rPr>
                <w:rFonts w:ascii="Arial" w:hAnsi="Arial" w:cs="Arial"/>
                <w:sz w:val="20"/>
                <w:szCs w:val="20"/>
              </w:rPr>
              <w:t>Resultado: 1</w:t>
            </w:r>
          </w:p>
          <w:p w14:paraId="41C9DEB7" w14:textId="77777777" w:rsidR="006E2CAB" w:rsidRPr="003C5A18" w:rsidRDefault="006E2CAB" w:rsidP="00476B13">
            <w:pPr>
              <w:spacing w:line="360" w:lineRule="auto"/>
              <w:ind w:left="29" w:right="32"/>
              <w:rPr>
                <w:rFonts w:ascii="Arial" w:hAnsi="Arial" w:cs="Arial"/>
                <w:sz w:val="20"/>
                <w:szCs w:val="20"/>
              </w:rPr>
            </w:pPr>
            <w:r w:rsidRPr="003C5A18">
              <w:rPr>
                <w:rFonts w:ascii="Arial" w:hAnsi="Arial" w:cs="Arial"/>
                <w:sz w:val="20"/>
                <w:szCs w:val="20"/>
              </w:rPr>
              <w:t>Observación: 1</w:t>
            </w:r>
          </w:p>
        </w:tc>
        <w:tc>
          <w:tcPr>
            <w:tcW w:w="1472" w:type="pct"/>
          </w:tcPr>
          <w:p w14:paraId="7871F648" w14:textId="77777777" w:rsidR="006E2CAB" w:rsidRPr="003C5A18" w:rsidRDefault="006E2CAB" w:rsidP="00476B13">
            <w:pPr>
              <w:spacing w:line="360" w:lineRule="auto"/>
              <w:jc w:val="both"/>
              <w:rPr>
                <w:rFonts w:ascii="Arial" w:eastAsia="Calibri" w:hAnsi="Arial" w:cs="Arial"/>
                <w:sz w:val="20"/>
                <w:szCs w:val="20"/>
              </w:rPr>
            </w:pPr>
            <w:r w:rsidRPr="00D048DC">
              <w:rPr>
                <w:rFonts w:ascii="Arial" w:hAnsi="Arial" w:cs="Arial"/>
                <w:sz w:val="20"/>
                <w:szCs w:val="20"/>
              </w:rPr>
              <w:t>Deficiente integración de los expedientes administrativos por venta de reservas</w:t>
            </w:r>
          </w:p>
        </w:tc>
        <w:tc>
          <w:tcPr>
            <w:tcW w:w="1619" w:type="pct"/>
          </w:tcPr>
          <w:p w14:paraId="47022643" w14:textId="77777777" w:rsidR="006E2CAB" w:rsidRPr="003C5A18" w:rsidRDefault="006E2CAB" w:rsidP="00476B13">
            <w:pPr>
              <w:spacing w:line="360" w:lineRule="auto"/>
              <w:jc w:val="both"/>
              <w:rPr>
                <w:rFonts w:ascii="Arial" w:hAnsi="Arial" w:cs="Arial"/>
                <w:sz w:val="20"/>
                <w:szCs w:val="20"/>
              </w:rPr>
            </w:pPr>
            <w:r w:rsidRPr="00D048DC">
              <w:rPr>
                <w:rFonts w:ascii="Arial" w:hAnsi="Arial" w:cs="Arial"/>
                <w:sz w:val="20"/>
                <w:szCs w:val="20"/>
              </w:rPr>
              <w:t>(5C) Inadecuada integración, control y resguardo de expedientes</w:t>
            </w:r>
          </w:p>
        </w:tc>
        <w:tc>
          <w:tcPr>
            <w:tcW w:w="1028" w:type="pct"/>
          </w:tcPr>
          <w:p w14:paraId="7712DCC8" w14:textId="4A35DDC1" w:rsidR="00833E34" w:rsidRDefault="00833E34" w:rsidP="00833E34">
            <w:pPr>
              <w:spacing w:line="276" w:lineRule="auto"/>
              <w:jc w:val="right"/>
              <w:rPr>
                <w:rFonts w:ascii="Arial" w:eastAsiaTheme="minorHAnsi" w:hAnsi="Arial" w:cs="Arial"/>
                <w:sz w:val="18"/>
                <w:szCs w:val="18"/>
              </w:rPr>
            </w:pPr>
            <w:r>
              <w:rPr>
                <w:rFonts w:ascii="Arial" w:eastAsiaTheme="minorHAnsi" w:hAnsi="Arial" w:cs="Arial"/>
                <w:sz w:val="18"/>
                <w:szCs w:val="18"/>
              </w:rPr>
              <w:t>Solventado</w:t>
            </w:r>
          </w:p>
          <w:p w14:paraId="60192C15" w14:textId="29ACE22A" w:rsidR="006E2CAB" w:rsidRPr="00D048DC" w:rsidRDefault="00833E34" w:rsidP="00833E34">
            <w:pPr>
              <w:spacing w:line="360" w:lineRule="auto"/>
              <w:jc w:val="right"/>
              <w:rPr>
                <w:rFonts w:ascii="Arial" w:hAnsi="Arial" w:cs="Arial"/>
                <w:sz w:val="20"/>
                <w:szCs w:val="20"/>
              </w:rPr>
            </w:pPr>
            <w:r>
              <w:rPr>
                <w:rFonts w:ascii="Arial" w:eastAsiaTheme="minorHAnsi" w:hAnsi="Arial" w:cs="Arial"/>
                <w:sz w:val="18"/>
                <w:szCs w:val="18"/>
              </w:rPr>
              <w:t>Recomendación</w:t>
            </w:r>
          </w:p>
        </w:tc>
      </w:tr>
      <w:tr w:rsidR="006E2CAB" w:rsidRPr="003C5A18" w14:paraId="75C0F7CF" w14:textId="40BD1937" w:rsidTr="006E2CAB">
        <w:trPr>
          <w:jc w:val="center"/>
        </w:trPr>
        <w:tc>
          <w:tcPr>
            <w:tcW w:w="881" w:type="pct"/>
          </w:tcPr>
          <w:p w14:paraId="0745740B" w14:textId="77777777" w:rsidR="006E2CAB" w:rsidRPr="003C5A18" w:rsidRDefault="006E2CAB" w:rsidP="00476B13">
            <w:pPr>
              <w:spacing w:line="360" w:lineRule="auto"/>
              <w:ind w:left="29" w:right="32"/>
              <w:rPr>
                <w:rFonts w:ascii="Arial" w:hAnsi="Arial" w:cs="Arial"/>
                <w:sz w:val="20"/>
                <w:szCs w:val="20"/>
              </w:rPr>
            </w:pPr>
            <w:r w:rsidRPr="003C5A18">
              <w:rPr>
                <w:rFonts w:ascii="Arial" w:hAnsi="Arial" w:cs="Arial"/>
                <w:sz w:val="20"/>
                <w:szCs w:val="20"/>
              </w:rPr>
              <w:t>Resultado: 1</w:t>
            </w:r>
          </w:p>
          <w:p w14:paraId="0E81899D" w14:textId="77777777" w:rsidR="006E2CAB" w:rsidRPr="003C5A18" w:rsidRDefault="006E2CAB" w:rsidP="00476B13">
            <w:pPr>
              <w:spacing w:line="360" w:lineRule="auto"/>
              <w:ind w:left="29" w:right="32"/>
              <w:rPr>
                <w:rFonts w:ascii="Arial" w:hAnsi="Arial" w:cs="Arial"/>
                <w:sz w:val="20"/>
                <w:szCs w:val="20"/>
              </w:rPr>
            </w:pPr>
            <w:r w:rsidRPr="003C5A18">
              <w:rPr>
                <w:rFonts w:ascii="Arial" w:hAnsi="Arial" w:cs="Arial"/>
                <w:sz w:val="20"/>
                <w:szCs w:val="20"/>
              </w:rPr>
              <w:t>Observación:2</w:t>
            </w:r>
          </w:p>
        </w:tc>
        <w:tc>
          <w:tcPr>
            <w:tcW w:w="1472" w:type="pct"/>
          </w:tcPr>
          <w:p w14:paraId="1A8907AE" w14:textId="77777777" w:rsidR="006E2CAB" w:rsidRPr="003C5A18" w:rsidRDefault="006E2CAB" w:rsidP="00476B13">
            <w:pPr>
              <w:spacing w:line="360" w:lineRule="auto"/>
              <w:jc w:val="both"/>
              <w:rPr>
                <w:rFonts w:ascii="Arial" w:hAnsi="Arial" w:cs="Arial"/>
                <w:sz w:val="20"/>
                <w:szCs w:val="20"/>
              </w:rPr>
            </w:pPr>
            <w:r w:rsidRPr="00D048DC">
              <w:rPr>
                <w:rFonts w:ascii="Arial" w:hAnsi="Arial" w:cs="Arial"/>
                <w:sz w:val="20"/>
                <w:szCs w:val="20"/>
              </w:rPr>
              <w:t>Deficiente integración de los expedientes administrativos por venta de reservas</w:t>
            </w:r>
          </w:p>
        </w:tc>
        <w:tc>
          <w:tcPr>
            <w:tcW w:w="1619" w:type="pct"/>
          </w:tcPr>
          <w:p w14:paraId="15F8682B" w14:textId="77777777" w:rsidR="006E2CAB" w:rsidRPr="003C5A18" w:rsidRDefault="006E2CAB" w:rsidP="00476B13">
            <w:pPr>
              <w:spacing w:line="360" w:lineRule="auto"/>
              <w:jc w:val="both"/>
              <w:rPr>
                <w:rFonts w:ascii="Arial" w:hAnsi="Arial" w:cs="Arial"/>
                <w:sz w:val="20"/>
                <w:szCs w:val="20"/>
              </w:rPr>
            </w:pPr>
            <w:r w:rsidRPr="003C5A18">
              <w:rPr>
                <w:rFonts w:ascii="Arial" w:hAnsi="Arial" w:cs="Arial"/>
                <w:sz w:val="20"/>
                <w:szCs w:val="20"/>
              </w:rPr>
              <w:t>(3D) Falta o inadecuada formalización de contratos, convenios o pedidos</w:t>
            </w:r>
          </w:p>
        </w:tc>
        <w:tc>
          <w:tcPr>
            <w:tcW w:w="1028" w:type="pct"/>
          </w:tcPr>
          <w:p w14:paraId="62D729AF" w14:textId="77777777" w:rsidR="00833E34" w:rsidRDefault="00833E34" w:rsidP="00833E34">
            <w:pPr>
              <w:spacing w:line="276" w:lineRule="auto"/>
              <w:jc w:val="right"/>
              <w:rPr>
                <w:rFonts w:ascii="Arial" w:eastAsiaTheme="minorHAnsi" w:hAnsi="Arial" w:cs="Arial"/>
                <w:sz w:val="18"/>
                <w:szCs w:val="18"/>
              </w:rPr>
            </w:pPr>
            <w:r>
              <w:rPr>
                <w:rFonts w:ascii="Arial" w:eastAsiaTheme="minorHAnsi" w:hAnsi="Arial" w:cs="Arial"/>
                <w:sz w:val="18"/>
                <w:szCs w:val="18"/>
              </w:rPr>
              <w:t>Solventado</w:t>
            </w:r>
          </w:p>
          <w:p w14:paraId="317D28ED" w14:textId="73671136" w:rsidR="006E2CAB" w:rsidRPr="003C5A18" w:rsidRDefault="00833E34" w:rsidP="00833E34">
            <w:pPr>
              <w:spacing w:line="360" w:lineRule="auto"/>
              <w:jc w:val="right"/>
              <w:rPr>
                <w:rFonts w:ascii="Arial" w:hAnsi="Arial" w:cs="Arial"/>
                <w:sz w:val="20"/>
                <w:szCs w:val="20"/>
              </w:rPr>
            </w:pPr>
            <w:r>
              <w:rPr>
                <w:rFonts w:ascii="Arial" w:eastAsiaTheme="minorHAnsi" w:hAnsi="Arial" w:cs="Arial"/>
                <w:sz w:val="18"/>
                <w:szCs w:val="18"/>
              </w:rPr>
              <w:t>Recomendación</w:t>
            </w:r>
          </w:p>
        </w:tc>
      </w:tr>
      <w:tr w:rsidR="006E2CAB" w:rsidRPr="003C5A18" w14:paraId="037F80FA" w14:textId="2997CCB0" w:rsidTr="006E2CAB">
        <w:trPr>
          <w:jc w:val="center"/>
        </w:trPr>
        <w:tc>
          <w:tcPr>
            <w:tcW w:w="881" w:type="pct"/>
          </w:tcPr>
          <w:p w14:paraId="06EFB744" w14:textId="77777777" w:rsidR="006E2CAB" w:rsidRPr="003C5A18" w:rsidRDefault="006E2CAB" w:rsidP="00476B13">
            <w:pPr>
              <w:spacing w:line="360" w:lineRule="auto"/>
              <w:ind w:left="29" w:right="32"/>
              <w:rPr>
                <w:rFonts w:ascii="Arial" w:hAnsi="Arial" w:cs="Arial"/>
                <w:sz w:val="20"/>
                <w:szCs w:val="20"/>
              </w:rPr>
            </w:pPr>
            <w:r w:rsidRPr="003C5A18">
              <w:rPr>
                <w:rFonts w:ascii="Arial" w:hAnsi="Arial" w:cs="Arial"/>
                <w:sz w:val="20"/>
                <w:szCs w:val="20"/>
              </w:rPr>
              <w:t>Resultado: 2</w:t>
            </w:r>
          </w:p>
          <w:p w14:paraId="355650F2" w14:textId="77777777" w:rsidR="006E2CAB" w:rsidRPr="003C5A18" w:rsidRDefault="006E2CAB" w:rsidP="00476B13">
            <w:pPr>
              <w:spacing w:line="360" w:lineRule="auto"/>
              <w:ind w:left="29" w:right="32"/>
              <w:rPr>
                <w:rFonts w:ascii="Arial" w:hAnsi="Arial" w:cs="Arial"/>
                <w:sz w:val="20"/>
                <w:szCs w:val="20"/>
              </w:rPr>
            </w:pPr>
            <w:r w:rsidRPr="003C5A18">
              <w:rPr>
                <w:rFonts w:ascii="Arial" w:hAnsi="Arial" w:cs="Arial"/>
                <w:sz w:val="20"/>
                <w:szCs w:val="20"/>
              </w:rPr>
              <w:t>Observación: 3</w:t>
            </w:r>
          </w:p>
        </w:tc>
        <w:tc>
          <w:tcPr>
            <w:tcW w:w="1472" w:type="pct"/>
          </w:tcPr>
          <w:p w14:paraId="4B6C11F4" w14:textId="77777777" w:rsidR="006E2CAB" w:rsidRPr="003C5A18" w:rsidRDefault="006E2CAB" w:rsidP="00476B13">
            <w:pPr>
              <w:tabs>
                <w:tab w:val="left" w:pos="355"/>
                <w:tab w:val="center" w:pos="1629"/>
              </w:tabs>
              <w:spacing w:line="360" w:lineRule="auto"/>
              <w:jc w:val="both"/>
              <w:rPr>
                <w:rFonts w:ascii="Arial" w:hAnsi="Arial" w:cs="Arial"/>
                <w:sz w:val="20"/>
                <w:szCs w:val="20"/>
              </w:rPr>
            </w:pPr>
            <w:r w:rsidRPr="00D048DC">
              <w:rPr>
                <w:rFonts w:ascii="Arial" w:hAnsi="Arial" w:cs="Arial"/>
                <w:sz w:val="20"/>
                <w:szCs w:val="20"/>
              </w:rPr>
              <w:t>Deficiente integración de los expedientes administrativos por concepto de titulación</w:t>
            </w:r>
          </w:p>
        </w:tc>
        <w:tc>
          <w:tcPr>
            <w:tcW w:w="1619" w:type="pct"/>
          </w:tcPr>
          <w:p w14:paraId="0BF9A6C5" w14:textId="77777777" w:rsidR="006E2CAB" w:rsidRPr="003C5A18" w:rsidRDefault="006E2CAB" w:rsidP="00476B13">
            <w:pPr>
              <w:spacing w:line="360" w:lineRule="auto"/>
              <w:jc w:val="both"/>
              <w:rPr>
                <w:rFonts w:ascii="Arial" w:hAnsi="Arial" w:cs="Arial"/>
                <w:sz w:val="20"/>
                <w:szCs w:val="20"/>
              </w:rPr>
            </w:pPr>
            <w:r w:rsidRPr="00D048DC">
              <w:rPr>
                <w:rFonts w:ascii="Arial" w:hAnsi="Arial" w:cs="Arial"/>
                <w:sz w:val="20"/>
                <w:szCs w:val="20"/>
              </w:rPr>
              <w:t>(5C) Inadecuada integración, control y resguardo de expedientes</w:t>
            </w:r>
          </w:p>
        </w:tc>
        <w:tc>
          <w:tcPr>
            <w:tcW w:w="1028" w:type="pct"/>
          </w:tcPr>
          <w:p w14:paraId="62D72100" w14:textId="77777777" w:rsidR="006E2CAB" w:rsidRDefault="00AF7185" w:rsidP="00AF7185">
            <w:pPr>
              <w:spacing w:line="360" w:lineRule="auto"/>
              <w:jc w:val="right"/>
              <w:rPr>
                <w:rFonts w:ascii="Arial" w:hAnsi="Arial" w:cs="Arial"/>
                <w:sz w:val="20"/>
                <w:szCs w:val="20"/>
              </w:rPr>
            </w:pPr>
            <w:r w:rsidRPr="006D44CC">
              <w:rPr>
                <w:rFonts w:ascii="Arial" w:hAnsi="Arial" w:cs="Arial"/>
                <w:sz w:val="20"/>
                <w:szCs w:val="20"/>
              </w:rPr>
              <w:t>Solventado</w:t>
            </w:r>
          </w:p>
          <w:p w14:paraId="3F944571" w14:textId="2975CBC6" w:rsidR="00833E34" w:rsidRPr="00D048DC" w:rsidRDefault="00833E34" w:rsidP="00AF7185">
            <w:pPr>
              <w:spacing w:line="360" w:lineRule="auto"/>
              <w:jc w:val="right"/>
              <w:rPr>
                <w:rFonts w:ascii="Arial" w:hAnsi="Arial" w:cs="Arial"/>
                <w:sz w:val="20"/>
                <w:szCs w:val="20"/>
              </w:rPr>
            </w:pPr>
            <w:r>
              <w:rPr>
                <w:rFonts w:ascii="Arial" w:hAnsi="Arial" w:cs="Arial"/>
                <w:sz w:val="20"/>
                <w:szCs w:val="20"/>
              </w:rPr>
              <w:t>Recomendación</w:t>
            </w:r>
          </w:p>
        </w:tc>
      </w:tr>
      <w:tr w:rsidR="006E2CAB" w:rsidRPr="003C5A18" w14:paraId="6DB6E2C4" w14:textId="3638E129" w:rsidTr="006E2CAB">
        <w:trPr>
          <w:jc w:val="center"/>
        </w:trPr>
        <w:tc>
          <w:tcPr>
            <w:tcW w:w="881" w:type="pct"/>
          </w:tcPr>
          <w:p w14:paraId="4D83AD25" w14:textId="77777777" w:rsidR="006E2CAB" w:rsidRPr="003C5A18" w:rsidRDefault="006E2CAB" w:rsidP="00476B13">
            <w:pPr>
              <w:spacing w:line="360" w:lineRule="auto"/>
              <w:ind w:left="29" w:right="32"/>
              <w:rPr>
                <w:rFonts w:ascii="Arial" w:hAnsi="Arial" w:cs="Arial"/>
                <w:sz w:val="20"/>
                <w:szCs w:val="20"/>
              </w:rPr>
            </w:pPr>
            <w:r>
              <w:rPr>
                <w:rFonts w:ascii="Arial" w:hAnsi="Arial" w:cs="Arial"/>
                <w:sz w:val="20"/>
                <w:szCs w:val="20"/>
              </w:rPr>
              <w:t>Resultado: 3</w:t>
            </w:r>
          </w:p>
          <w:p w14:paraId="4F96325E" w14:textId="77777777" w:rsidR="006E2CAB" w:rsidRPr="003C5A18" w:rsidRDefault="006E2CAB" w:rsidP="00476B13">
            <w:pPr>
              <w:spacing w:line="360" w:lineRule="auto"/>
              <w:ind w:left="29" w:right="32"/>
              <w:rPr>
                <w:rFonts w:ascii="Arial" w:hAnsi="Arial" w:cs="Arial"/>
                <w:sz w:val="20"/>
                <w:szCs w:val="20"/>
              </w:rPr>
            </w:pPr>
            <w:r w:rsidRPr="003C5A18">
              <w:rPr>
                <w:rFonts w:ascii="Arial" w:hAnsi="Arial" w:cs="Arial"/>
                <w:sz w:val="20"/>
                <w:szCs w:val="20"/>
              </w:rPr>
              <w:t>Observación: 4</w:t>
            </w:r>
          </w:p>
        </w:tc>
        <w:tc>
          <w:tcPr>
            <w:tcW w:w="1472" w:type="pct"/>
          </w:tcPr>
          <w:p w14:paraId="50171664" w14:textId="77777777" w:rsidR="006E2CAB" w:rsidRPr="003C5A18" w:rsidRDefault="006E2CAB" w:rsidP="00476B13">
            <w:pPr>
              <w:spacing w:line="360" w:lineRule="auto"/>
              <w:jc w:val="both"/>
              <w:rPr>
                <w:rFonts w:ascii="Arial" w:hAnsi="Arial" w:cs="Arial"/>
                <w:sz w:val="20"/>
                <w:szCs w:val="20"/>
              </w:rPr>
            </w:pPr>
            <w:r w:rsidRPr="00D048DC">
              <w:rPr>
                <w:rFonts w:ascii="Arial" w:hAnsi="Arial" w:cs="Arial"/>
                <w:sz w:val="20"/>
                <w:szCs w:val="20"/>
              </w:rPr>
              <w:t>Falta de integración de los expedientes administrativos por arrendamientos</w:t>
            </w:r>
          </w:p>
        </w:tc>
        <w:tc>
          <w:tcPr>
            <w:tcW w:w="1619" w:type="pct"/>
          </w:tcPr>
          <w:p w14:paraId="20C2D6CB" w14:textId="77777777" w:rsidR="006E2CAB" w:rsidRPr="003C5A18" w:rsidRDefault="006E2CAB" w:rsidP="00476B13">
            <w:pPr>
              <w:spacing w:line="360" w:lineRule="auto"/>
              <w:ind w:right="49"/>
              <w:jc w:val="both"/>
              <w:rPr>
                <w:rFonts w:ascii="Arial" w:hAnsi="Arial" w:cs="Arial"/>
                <w:sz w:val="20"/>
                <w:szCs w:val="20"/>
              </w:rPr>
            </w:pPr>
            <w:r w:rsidRPr="00D048DC">
              <w:rPr>
                <w:rFonts w:ascii="Arial" w:hAnsi="Arial" w:cs="Arial"/>
                <w:sz w:val="20"/>
                <w:szCs w:val="20"/>
              </w:rPr>
              <w:t>(5C) Inadecuada integración, control y resguardo de expedientes</w:t>
            </w:r>
          </w:p>
        </w:tc>
        <w:tc>
          <w:tcPr>
            <w:tcW w:w="1028" w:type="pct"/>
          </w:tcPr>
          <w:p w14:paraId="2129A81D" w14:textId="77777777" w:rsidR="006E2CAB" w:rsidRDefault="00AF7185" w:rsidP="00AF7185">
            <w:pPr>
              <w:spacing w:line="360" w:lineRule="auto"/>
              <w:ind w:right="49"/>
              <w:jc w:val="right"/>
              <w:rPr>
                <w:rFonts w:ascii="Arial" w:hAnsi="Arial" w:cs="Arial"/>
                <w:sz w:val="20"/>
                <w:szCs w:val="20"/>
              </w:rPr>
            </w:pPr>
            <w:r>
              <w:rPr>
                <w:rFonts w:ascii="Arial" w:hAnsi="Arial" w:cs="Arial"/>
                <w:sz w:val="20"/>
                <w:szCs w:val="20"/>
              </w:rPr>
              <w:t>52,300.00</w:t>
            </w:r>
          </w:p>
          <w:p w14:paraId="3F22A4F5" w14:textId="107BE9AC" w:rsidR="00AF7185" w:rsidRPr="00D048DC" w:rsidRDefault="00AF7185" w:rsidP="00AF7185">
            <w:pPr>
              <w:spacing w:line="360" w:lineRule="auto"/>
              <w:ind w:right="49"/>
              <w:jc w:val="right"/>
              <w:rPr>
                <w:rFonts w:ascii="Arial" w:hAnsi="Arial" w:cs="Arial"/>
                <w:sz w:val="20"/>
                <w:szCs w:val="20"/>
              </w:rPr>
            </w:pPr>
            <w:r>
              <w:rPr>
                <w:rFonts w:ascii="Arial" w:hAnsi="Arial" w:cs="Arial"/>
                <w:sz w:val="20"/>
                <w:szCs w:val="20"/>
              </w:rPr>
              <w:t xml:space="preserve">Solventado </w:t>
            </w:r>
          </w:p>
        </w:tc>
      </w:tr>
      <w:tr w:rsidR="006E2CAB" w:rsidRPr="003C5A18" w14:paraId="7D69F5D9" w14:textId="2F1F1449" w:rsidTr="006E2CAB">
        <w:trPr>
          <w:jc w:val="center"/>
        </w:trPr>
        <w:tc>
          <w:tcPr>
            <w:tcW w:w="881" w:type="pct"/>
          </w:tcPr>
          <w:p w14:paraId="1C265BD0" w14:textId="77777777" w:rsidR="006E2CAB" w:rsidRPr="003C5A18" w:rsidRDefault="006E2CAB" w:rsidP="00476B13">
            <w:pPr>
              <w:spacing w:line="360" w:lineRule="auto"/>
              <w:ind w:left="29" w:right="32"/>
              <w:rPr>
                <w:rFonts w:ascii="Arial" w:hAnsi="Arial" w:cs="Arial"/>
                <w:sz w:val="20"/>
                <w:szCs w:val="20"/>
              </w:rPr>
            </w:pPr>
            <w:r>
              <w:rPr>
                <w:rFonts w:ascii="Arial" w:hAnsi="Arial" w:cs="Arial"/>
                <w:sz w:val="20"/>
                <w:szCs w:val="20"/>
              </w:rPr>
              <w:t>Resultado: 3</w:t>
            </w:r>
          </w:p>
          <w:p w14:paraId="069CEF8A" w14:textId="77777777" w:rsidR="006E2CAB" w:rsidRPr="003C5A18" w:rsidRDefault="006E2CAB" w:rsidP="00476B13">
            <w:pPr>
              <w:spacing w:line="360" w:lineRule="auto"/>
              <w:ind w:left="29" w:right="32"/>
              <w:rPr>
                <w:rFonts w:ascii="Arial" w:hAnsi="Arial" w:cs="Arial"/>
                <w:sz w:val="20"/>
                <w:szCs w:val="20"/>
              </w:rPr>
            </w:pPr>
            <w:r w:rsidRPr="003C5A18">
              <w:rPr>
                <w:rFonts w:ascii="Arial" w:hAnsi="Arial" w:cs="Arial"/>
                <w:sz w:val="20"/>
                <w:szCs w:val="20"/>
              </w:rPr>
              <w:t xml:space="preserve">Observación: </w:t>
            </w:r>
            <w:r>
              <w:rPr>
                <w:rFonts w:ascii="Arial" w:hAnsi="Arial" w:cs="Arial"/>
                <w:sz w:val="20"/>
                <w:szCs w:val="20"/>
              </w:rPr>
              <w:t>5</w:t>
            </w:r>
          </w:p>
        </w:tc>
        <w:tc>
          <w:tcPr>
            <w:tcW w:w="1472" w:type="pct"/>
          </w:tcPr>
          <w:p w14:paraId="4D9E44B8" w14:textId="77777777" w:rsidR="006E2CAB" w:rsidRPr="003C5A18" w:rsidRDefault="006E2CAB" w:rsidP="00476B13">
            <w:pPr>
              <w:spacing w:line="360" w:lineRule="auto"/>
              <w:jc w:val="both"/>
              <w:rPr>
                <w:rFonts w:ascii="Arial" w:hAnsi="Arial" w:cs="Arial"/>
                <w:sz w:val="20"/>
                <w:szCs w:val="20"/>
              </w:rPr>
            </w:pPr>
            <w:r w:rsidRPr="00D048DC">
              <w:rPr>
                <w:rFonts w:ascii="Arial" w:hAnsi="Arial" w:cs="Arial"/>
                <w:sz w:val="20"/>
                <w:szCs w:val="20"/>
              </w:rPr>
              <w:t>Falta de integración de los expedientes administrativos por arrendamientos</w:t>
            </w:r>
          </w:p>
        </w:tc>
        <w:tc>
          <w:tcPr>
            <w:tcW w:w="1619" w:type="pct"/>
          </w:tcPr>
          <w:p w14:paraId="4BBF1A8A" w14:textId="77777777" w:rsidR="006E2CAB" w:rsidRPr="003C5A18" w:rsidRDefault="006E2CAB" w:rsidP="00476B13">
            <w:pPr>
              <w:spacing w:line="360" w:lineRule="auto"/>
              <w:ind w:right="49"/>
              <w:jc w:val="both"/>
              <w:rPr>
                <w:rFonts w:ascii="Arial" w:hAnsi="Arial" w:cs="Arial"/>
                <w:sz w:val="20"/>
                <w:szCs w:val="20"/>
              </w:rPr>
            </w:pPr>
            <w:r w:rsidRPr="003C5A18">
              <w:rPr>
                <w:rFonts w:ascii="Arial" w:hAnsi="Arial" w:cs="Arial"/>
                <w:sz w:val="20"/>
                <w:szCs w:val="20"/>
              </w:rPr>
              <w:t>(1C) Falta de autorización o justificación de las erogaciones</w:t>
            </w:r>
          </w:p>
        </w:tc>
        <w:tc>
          <w:tcPr>
            <w:tcW w:w="1028" w:type="pct"/>
          </w:tcPr>
          <w:p w14:paraId="4163B367" w14:textId="77777777" w:rsidR="006E2CAB" w:rsidRDefault="00AF7185" w:rsidP="00AF7185">
            <w:pPr>
              <w:spacing w:line="360" w:lineRule="auto"/>
              <w:ind w:right="49"/>
              <w:jc w:val="right"/>
              <w:rPr>
                <w:rFonts w:ascii="Arial" w:hAnsi="Arial" w:cs="Arial"/>
                <w:sz w:val="20"/>
                <w:szCs w:val="20"/>
              </w:rPr>
            </w:pPr>
            <w:r>
              <w:rPr>
                <w:rFonts w:ascii="Arial" w:hAnsi="Arial" w:cs="Arial"/>
                <w:sz w:val="20"/>
                <w:szCs w:val="20"/>
              </w:rPr>
              <w:t>Solventado</w:t>
            </w:r>
          </w:p>
          <w:p w14:paraId="565A00B8" w14:textId="2D0C62E9" w:rsidR="006D44CC" w:rsidRPr="003C5A18" w:rsidRDefault="006D44CC" w:rsidP="00AF7185">
            <w:pPr>
              <w:spacing w:line="360" w:lineRule="auto"/>
              <w:ind w:right="49"/>
              <w:jc w:val="right"/>
              <w:rPr>
                <w:rFonts w:ascii="Arial" w:hAnsi="Arial" w:cs="Arial"/>
                <w:sz w:val="20"/>
                <w:szCs w:val="20"/>
              </w:rPr>
            </w:pPr>
            <w:r>
              <w:rPr>
                <w:rFonts w:ascii="Arial" w:hAnsi="Arial" w:cs="Arial"/>
                <w:sz w:val="20"/>
                <w:szCs w:val="20"/>
              </w:rPr>
              <w:t>Recomendación</w:t>
            </w:r>
          </w:p>
        </w:tc>
      </w:tr>
      <w:tr w:rsidR="006E2CAB" w:rsidRPr="003C5A18" w14:paraId="619D2CDF" w14:textId="55DA88A1" w:rsidTr="006E2CAB">
        <w:trPr>
          <w:jc w:val="center"/>
        </w:trPr>
        <w:tc>
          <w:tcPr>
            <w:tcW w:w="881" w:type="pct"/>
          </w:tcPr>
          <w:p w14:paraId="65097E3D" w14:textId="77777777" w:rsidR="006E2CAB" w:rsidRPr="003C5A18" w:rsidRDefault="006E2CAB" w:rsidP="00476B13">
            <w:pPr>
              <w:spacing w:line="360" w:lineRule="auto"/>
              <w:ind w:left="29" w:right="32"/>
              <w:rPr>
                <w:rFonts w:ascii="Arial" w:hAnsi="Arial" w:cs="Arial"/>
                <w:sz w:val="20"/>
                <w:szCs w:val="20"/>
              </w:rPr>
            </w:pPr>
            <w:r>
              <w:rPr>
                <w:rFonts w:ascii="Arial" w:hAnsi="Arial" w:cs="Arial"/>
                <w:sz w:val="20"/>
                <w:szCs w:val="20"/>
              </w:rPr>
              <w:t>Resultado: 4</w:t>
            </w:r>
          </w:p>
          <w:p w14:paraId="383CE678" w14:textId="77777777" w:rsidR="006E2CAB" w:rsidRPr="003C5A18" w:rsidRDefault="006E2CAB" w:rsidP="00476B13">
            <w:pPr>
              <w:spacing w:line="360" w:lineRule="auto"/>
              <w:ind w:left="29" w:right="32"/>
              <w:rPr>
                <w:rFonts w:ascii="Arial" w:hAnsi="Arial" w:cs="Arial"/>
                <w:sz w:val="20"/>
                <w:szCs w:val="20"/>
              </w:rPr>
            </w:pPr>
            <w:r>
              <w:rPr>
                <w:rFonts w:ascii="Arial" w:hAnsi="Arial" w:cs="Arial"/>
                <w:sz w:val="20"/>
                <w:szCs w:val="20"/>
              </w:rPr>
              <w:t>Observación: 6</w:t>
            </w:r>
          </w:p>
        </w:tc>
        <w:tc>
          <w:tcPr>
            <w:tcW w:w="1472" w:type="pct"/>
          </w:tcPr>
          <w:p w14:paraId="13624A2F" w14:textId="77777777" w:rsidR="006E2CAB" w:rsidRPr="003C5A18" w:rsidRDefault="006E2CAB" w:rsidP="00476B13">
            <w:pPr>
              <w:spacing w:line="360" w:lineRule="auto"/>
              <w:jc w:val="both"/>
              <w:rPr>
                <w:rFonts w:ascii="Arial" w:hAnsi="Arial" w:cs="Arial"/>
                <w:sz w:val="20"/>
                <w:szCs w:val="20"/>
              </w:rPr>
            </w:pPr>
            <w:r w:rsidRPr="00D048DC">
              <w:rPr>
                <w:rFonts w:ascii="Arial" w:hAnsi="Arial" w:cs="Arial"/>
                <w:sz w:val="20"/>
                <w:szCs w:val="20"/>
              </w:rPr>
              <w:t>Documentación parcial por concepto de otros ingresos</w:t>
            </w:r>
          </w:p>
        </w:tc>
        <w:tc>
          <w:tcPr>
            <w:tcW w:w="1619" w:type="pct"/>
          </w:tcPr>
          <w:p w14:paraId="3CC4B694" w14:textId="77777777" w:rsidR="006E2CAB" w:rsidRPr="003C5A18" w:rsidRDefault="006E2CAB" w:rsidP="00476B13">
            <w:pPr>
              <w:spacing w:line="360" w:lineRule="auto"/>
              <w:ind w:right="49"/>
              <w:jc w:val="both"/>
              <w:rPr>
                <w:rFonts w:ascii="Arial" w:hAnsi="Arial" w:cs="Arial"/>
                <w:sz w:val="20"/>
                <w:szCs w:val="20"/>
              </w:rPr>
            </w:pPr>
            <w:r w:rsidRPr="005812D0">
              <w:rPr>
                <w:rFonts w:ascii="Arial" w:hAnsi="Arial" w:cs="Arial"/>
                <w:sz w:val="20"/>
                <w:szCs w:val="20"/>
              </w:rPr>
              <w:t>(1C) Falta de autorización o justificación de las erogaciones</w:t>
            </w:r>
          </w:p>
        </w:tc>
        <w:tc>
          <w:tcPr>
            <w:tcW w:w="1028" w:type="pct"/>
          </w:tcPr>
          <w:p w14:paraId="3BB87702" w14:textId="0DF1E47E" w:rsidR="006E2CAB" w:rsidRPr="005812D0" w:rsidRDefault="00AF7185" w:rsidP="00AF7185">
            <w:pPr>
              <w:spacing w:line="360" w:lineRule="auto"/>
              <w:ind w:right="49"/>
              <w:jc w:val="right"/>
              <w:rPr>
                <w:rFonts w:ascii="Arial" w:hAnsi="Arial" w:cs="Arial"/>
                <w:sz w:val="20"/>
                <w:szCs w:val="20"/>
              </w:rPr>
            </w:pPr>
            <w:r>
              <w:rPr>
                <w:rFonts w:ascii="Arial" w:hAnsi="Arial" w:cs="Arial"/>
                <w:sz w:val="20"/>
                <w:szCs w:val="20"/>
              </w:rPr>
              <w:t>Solventado</w:t>
            </w:r>
          </w:p>
        </w:tc>
      </w:tr>
      <w:tr w:rsidR="00AF7185" w:rsidRPr="003C5A18" w14:paraId="4B35F815" w14:textId="77777777" w:rsidTr="006E2CAB">
        <w:trPr>
          <w:jc w:val="center"/>
        </w:trPr>
        <w:tc>
          <w:tcPr>
            <w:tcW w:w="881" w:type="pct"/>
          </w:tcPr>
          <w:p w14:paraId="51A0B242" w14:textId="77777777" w:rsidR="00AF7185" w:rsidRDefault="00AF7185" w:rsidP="00476B13">
            <w:pPr>
              <w:spacing w:line="360" w:lineRule="auto"/>
              <w:ind w:left="29" w:right="32"/>
              <w:rPr>
                <w:rFonts w:ascii="Arial" w:hAnsi="Arial" w:cs="Arial"/>
                <w:sz w:val="20"/>
                <w:szCs w:val="20"/>
              </w:rPr>
            </w:pPr>
          </w:p>
        </w:tc>
        <w:tc>
          <w:tcPr>
            <w:tcW w:w="1472" w:type="pct"/>
          </w:tcPr>
          <w:p w14:paraId="1CE372AF" w14:textId="77777777" w:rsidR="00AF7185" w:rsidRPr="00D048DC" w:rsidRDefault="00AF7185" w:rsidP="00476B13">
            <w:pPr>
              <w:spacing w:line="360" w:lineRule="auto"/>
              <w:jc w:val="both"/>
              <w:rPr>
                <w:rFonts w:ascii="Arial" w:hAnsi="Arial" w:cs="Arial"/>
                <w:sz w:val="20"/>
                <w:szCs w:val="20"/>
              </w:rPr>
            </w:pPr>
          </w:p>
        </w:tc>
        <w:tc>
          <w:tcPr>
            <w:tcW w:w="1619" w:type="pct"/>
          </w:tcPr>
          <w:p w14:paraId="5CB35BD8" w14:textId="79F29C67" w:rsidR="00AF7185" w:rsidRPr="00AF7185" w:rsidRDefault="00AF7185" w:rsidP="00AF7185">
            <w:pPr>
              <w:spacing w:line="360" w:lineRule="auto"/>
              <w:ind w:right="49"/>
              <w:jc w:val="right"/>
              <w:rPr>
                <w:rFonts w:ascii="Arial" w:hAnsi="Arial" w:cs="Arial"/>
                <w:b/>
                <w:sz w:val="20"/>
                <w:szCs w:val="20"/>
              </w:rPr>
            </w:pPr>
            <w:r w:rsidRPr="00AF7185">
              <w:rPr>
                <w:rFonts w:ascii="Arial" w:hAnsi="Arial" w:cs="Arial"/>
                <w:b/>
                <w:sz w:val="20"/>
                <w:szCs w:val="20"/>
              </w:rPr>
              <w:t xml:space="preserve">Total observado </w:t>
            </w:r>
          </w:p>
        </w:tc>
        <w:tc>
          <w:tcPr>
            <w:tcW w:w="1028" w:type="pct"/>
          </w:tcPr>
          <w:p w14:paraId="67D7571E" w14:textId="26DE612B" w:rsidR="00AF7185" w:rsidRPr="00AF7185" w:rsidRDefault="00AF7185" w:rsidP="00AF7185">
            <w:pPr>
              <w:spacing w:line="360" w:lineRule="auto"/>
              <w:ind w:right="49"/>
              <w:jc w:val="right"/>
              <w:rPr>
                <w:rFonts w:ascii="Arial" w:hAnsi="Arial" w:cs="Arial"/>
                <w:b/>
                <w:sz w:val="20"/>
                <w:szCs w:val="20"/>
              </w:rPr>
            </w:pPr>
            <w:r>
              <w:rPr>
                <w:rFonts w:ascii="Arial" w:hAnsi="Arial" w:cs="Arial"/>
                <w:b/>
                <w:sz w:val="20"/>
                <w:szCs w:val="20"/>
              </w:rPr>
              <w:t>$52,300.00</w:t>
            </w:r>
          </w:p>
        </w:tc>
      </w:tr>
    </w:tbl>
    <w:p w14:paraId="180261B2" w14:textId="0C135145" w:rsidR="006E2CAB" w:rsidRDefault="006E2CAB" w:rsidP="00B73486">
      <w:pPr>
        <w:spacing w:line="360" w:lineRule="auto"/>
        <w:ind w:right="141"/>
        <w:jc w:val="both"/>
        <w:rPr>
          <w:rFonts w:ascii="Arial" w:hAnsi="Arial" w:cs="Arial"/>
        </w:rPr>
      </w:pPr>
    </w:p>
    <w:p w14:paraId="7328428A" w14:textId="40112944" w:rsidR="006E2CAB" w:rsidRDefault="006E2CAB" w:rsidP="00B73486">
      <w:pPr>
        <w:spacing w:line="360" w:lineRule="auto"/>
        <w:ind w:right="141"/>
        <w:jc w:val="both"/>
        <w:rPr>
          <w:rFonts w:ascii="Arial" w:hAnsi="Arial" w:cs="Arial"/>
          <w:b/>
        </w:rPr>
      </w:pPr>
      <w:bookmarkStart w:id="16" w:name="_Hlk11419841"/>
      <w:bookmarkEnd w:id="15"/>
    </w:p>
    <w:p w14:paraId="6D68F875" w14:textId="77777777" w:rsidR="00DA72DB" w:rsidRDefault="00DA72DB" w:rsidP="00B73486">
      <w:pPr>
        <w:spacing w:line="360" w:lineRule="auto"/>
        <w:ind w:right="141"/>
        <w:jc w:val="both"/>
        <w:rPr>
          <w:rFonts w:ascii="Arial" w:hAnsi="Arial" w:cs="Arial"/>
          <w:b/>
        </w:rPr>
      </w:pPr>
    </w:p>
    <w:p w14:paraId="247188BF" w14:textId="3D76019A" w:rsidR="00953A1D" w:rsidRPr="00761FA3" w:rsidRDefault="00953A1D" w:rsidP="00B73486">
      <w:pPr>
        <w:spacing w:line="360" w:lineRule="auto"/>
        <w:ind w:right="141"/>
        <w:jc w:val="both"/>
        <w:rPr>
          <w:rFonts w:ascii="Arial" w:hAnsi="Arial" w:cs="Arial"/>
          <w:b/>
        </w:rPr>
      </w:pPr>
      <w:r w:rsidRPr="00E3352A">
        <w:rPr>
          <w:rFonts w:ascii="Arial" w:hAnsi="Arial" w:cs="Arial"/>
          <w:b/>
        </w:rPr>
        <w:lastRenderedPageBreak/>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3297DD68" w14:textId="77777777" w:rsidR="00953A1D" w:rsidRPr="00BF48EE" w:rsidRDefault="00953A1D" w:rsidP="00B73486">
      <w:pPr>
        <w:spacing w:line="276" w:lineRule="auto"/>
        <w:ind w:right="141"/>
        <w:jc w:val="both"/>
        <w:rPr>
          <w:rFonts w:ascii="Arial" w:hAnsi="Arial" w:cs="Arial"/>
          <w:b/>
          <w:sz w:val="18"/>
          <w:szCs w:val="18"/>
        </w:rPr>
      </w:pPr>
    </w:p>
    <w:p w14:paraId="0715A657" w14:textId="77777777" w:rsidR="00953A1D" w:rsidRDefault="00953A1D" w:rsidP="00B73486">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649B1CFD" w14:textId="77777777" w:rsidR="00953A1D" w:rsidRPr="00BF48EE" w:rsidRDefault="00953A1D" w:rsidP="00B73486">
      <w:pPr>
        <w:spacing w:line="360" w:lineRule="auto"/>
        <w:ind w:right="141"/>
        <w:jc w:val="both"/>
        <w:rPr>
          <w:rFonts w:ascii="Arial" w:hAnsi="Arial" w:cs="Arial"/>
          <w:sz w:val="18"/>
          <w:szCs w:val="18"/>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59"/>
        <w:gridCol w:w="24"/>
        <w:gridCol w:w="1643"/>
      </w:tblGrid>
      <w:tr w:rsidR="00953A1D" w:rsidRPr="00AF7185" w14:paraId="6C269D3A" w14:textId="77777777" w:rsidTr="007B034C">
        <w:trPr>
          <w:trHeight w:val="624"/>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B3F765" w14:textId="77777777" w:rsidR="00953A1D" w:rsidRPr="00AF7185" w:rsidRDefault="00953A1D" w:rsidP="00B73486">
            <w:pPr>
              <w:spacing w:line="276" w:lineRule="auto"/>
              <w:ind w:right="141"/>
              <w:jc w:val="center"/>
              <w:rPr>
                <w:rFonts w:ascii="Arial" w:hAnsi="Arial" w:cs="Arial"/>
                <w:b/>
                <w:sz w:val="18"/>
                <w:szCs w:val="18"/>
              </w:rPr>
            </w:pPr>
            <w:r w:rsidRPr="00AF7185">
              <w:rPr>
                <w:rFonts w:ascii="Arial" w:hAnsi="Arial" w:cs="Arial"/>
                <w:b/>
                <w:sz w:val="18"/>
                <w:szCs w:val="18"/>
              </w:rPr>
              <w:t xml:space="preserve">Resumen General de Observaciones y </w:t>
            </w:r>
            <w:proofErr w:type="spellStart"/>
            <w:r w:rsidRPr="00AF7185">
              <w:rPr>
                <w:rFonts w:ascii="Arial" w:hAnsi="Arial" w:cs="Arial"/>
                <w:b/>
                <w:sz w:val="18"/>
                <w:szCs w:val="18"/>
              </w:rPr>
              <w:t>Solventaciones</w:t>
            </w:r>
            <w:proofErr w:type="spellEnd"/>
            <w:r w:rsidRPr="00AF7185">
              <w:rPr>
                <w:rFonts w:ascii="Arial" w:hAnsi="Arial" w:cs="Arial"/>
                <w:b/>
                <w:sz w:val="18"/>
                <w:szCs w:val="18"/>
              </w:rPr>
              <w:t xml:space="preserve"> en Materia Financiera</w:t>
            </w:r>
          </w:p>
        </w:tc>
      </w:tr>
      <w:tr w:rsidR="00953A1D" w:rsidRPr="00AF7185" w14:paraId="718251F3" w14:textId="77777777" w:rsidTr="007B034C">
        <w:trPr>
          <w:trHeight w:val="497"/>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06ABB79" w14:textId="77777777" w:rsidR="00953A1D" w:rsidRPr="00AF7185" w:rsidRDefault="00953A1D" w:rsidP="00B73486">
            <w:pPr>
              <w:spacing w:line="276" w:lineRule="auto"/>
              <w:ind w:right="141"/>
              <w:jc w:val="center"/>
              <w:rPr>
                <w:rFonts w:ascii="Arial" w:hAnsi="Arial" w:cs="Arial"/>
                <w:b/>
                <w:sz w:val="18"/>
                <w:szCs w:val="18"/>
              </w:rPr>
            </w:pPr>
            <w:r w:rsidRPr="00AF7185">
              <w:rPr>
                <w:rFonts w:ascii="Arial" w:hAnsi="Arial" w:cs="Arial"/>
                <w:b/>
                <w:sz w:val="18"/>
                <w:szCs w:val="18"/>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9A6DF1C" w14:textId="77777777" w:rsidR="00953A1D" w:rsidRPr="00AF7185" w:rsidRDefault="00953A1D" w:rsidP="00B73486">
            <w:pPr>
              <w:spacing w:line="276" w:lineRule="auto"/>
              <w:ind w:right="141"/>
              <w:jc w:val="center"/>
              <w:rPr>
                <w:rFonts w:ascii="Arial" w:hAnsi="Arial" w:cs="Arial"/>
                <w:b/>
                <w:sz w:val="18"/>
                <w:szCs w:val="18"/>
              </w:rPr>
            </w:pPr>
            <w:r w:rsidRPr="00AF7185">
              <w:rPr>
                <w:rFonts w:ascii="Arial" w:hAnsi="Arial" w:cs="Arial"/>
                <w:b/>
                <w:sz w:val="18"/>
                <w:szCs w:val="18"/>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C9F9F5" w14:textId="77777777" w:rsidR="00953A1D" w:rsidRPr="00AF7185" w:rsidRDefault="00953A1D" w:rsidP="00B73486">
            <w:pPr>
              <w:spacing w:line="276" w:lineRule="auto"/>
              <w:ind w:right="141"/>
              <w:jc w:val="center"/>
              <w:rPr>
                <w:rFonts w:ascii="Arial" w:hAnsi="Arial" w:cs="Arial"/>
                <w:b/>
                <w:sz w:val="18"/>
                <w:szCs w:val="18"/>
              </w:rPr>
            </w:pPr>
            <w:r w:rsidRPr="00AF7185">
              <w:rPr>
                <w:rFonts w:ascii="Arial" w:hAnsi="Arial" w:cs="Arial"/>
                <w:b/>
                <w:sz w:val="18"/>
                <w:szCs w:val="18"/>
              </w:rPr>
              <w:t xml:space="preserve">Modalidades de </w:t>
            </w:r>
            <w:proofErr w:type="spellStart"/>
            <w:r w:rsidRPr="00AF7185">
              <w:rPr>
                <w:rFonts w:ascii="Arial" w:hAnsi="Arial" w:cs="Arial"/>
                <w:b/>
                <w:sz w:val="18"/>
                <w:szCs w:val="18"/>
              </w:rPr>
              <w:t>Solventación</w:t>
            </w:r>
            <w:proofErr w:type="spellEnd"/>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86FC1A" w14:textId="77777777" w:rsidR="00953A1D" w:rsidRPr="00AF7185" w:rsidRDefault="00953A1D" w:rsidP="00B73486">
            <w:pPr>
              <w:spacing w:line="276" w:lineRule="auto"/>
              <w:ind w:right="141"/>
              <w:jc w:val="center"/>
              <w:rPr>
                <w:rFonts w:ascii="Arial" w:hAnsi="Arial" w:cs="Arial"/>
                <w:b/>
                <w:sz w:val="18"/>
                <w:szCs w:val="18"/>
              </w:rPr>
            </w:pPr>
            <w:r w:rsidRPr="00AF7185">
              <w:rPr>
                <w:rFonts w:ascii="Arial" w:hAnsi="Arial" w:cs="Arial"/>
                <w:b/>
                <w:sz w:val="18"/>
                <w:szCs w:val="18"/>
              </w:rPr>
              <w:t>Pendiente de Solventar</w:t>
            </w:r>
          </w:p>
        </w:tc>
      </w:tr>
      <w:tr w:rsidR="00953A1D" w:rsidRPr="00AF7185" w14:paraId="387F375D" w14:textId="77777777" w:rsidTr="007B034C">
        <w:trPr>
          <w:trHeight w:val="39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F8ED5AF" w14:textId="77777777" w:rsidR="00953A1D" w:rsidRPr="00AF7185" w:rsidRDefault="00953A1D" w:rsidP="00B73486">
            <w:pPr>
              <w:spacing w:line="276" w:lineRule="auto"/>
              <w:ind w:right="141"/>
              <w:jc w:val="center"/>
              <w:rPr>
                <w:rFonts w:ascii="Arial" w:hAnsi="Arial" w:cs="Arial"/>
                <w:b/>
                <w:sz w:val="18"/>
                <w:szCs w:val="18"/>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A85E89" w14:textId="77777777" w:rsidR="00953A1D" w:rsidRPr="00AF7185" w:rsidRDefault="00953A1D" w:rsidP="00B73486">
            <w:pPr>
              <w:spacing w:line="276" w:lineRule="auto"/>
              <w:ind w:right="141"/>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3F7DF1" w14:textId="77777777" w:rsidR="00953A1D" w:rsidRPr="00AF7185" w:rsidRDefault="00953A1D" w:rsidP="00B73486">
            <w:pPr>
              <w:spacing w:line="276" w:lineRule="auto"/>
              <w:ind w:right="141"/>
              <w:jc w:val="center"/>
              <w:rPr>
                <w:rFonts w:ascii="Arial" w:hAnsi="Arial" w:cs="Arial"/>
                <w:b/>
                <w:sz w:val="18"/>
                <w:szCs w:val="18"/>
              </w:rPr>
            </w:pPr>
            <w:r w:rsidRPr="00AF7185">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9CF6E07" w14:textId="77777777" w:rsidR="00953A1D" w:rsidRPr="00AF7185" w:rsidRDefault="00953A1D" w:rsidP="00B73486">
            <w:pPr>
              <w:spacing w:line="276" w:lineRule="auto"/>
              <w:ind w:right="141"/>
              <w:jc w:val="center"/>
              <w:rPr>
                <w:rFonts w:ascii="Arial" w:hAnsi="Arial" w:cs="Arial"/>
                <w:b/>
                <w:sz w:val="18"/>
                <w:szCs w:val="18"/>
              </w:rPr>
            </w:pPr>
            <w:r w:rsidRPr="00AF7185">
              <w:rPr>
                <w:rFonts w:ascii="Arial" w:hAnsi="Arial" w:cs="Arial"/>
                <w:b/>
                <w:sz w:val="18"/>
                <w:szCs w:val="18"/>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BCD68B" w14:textId="77777777" w:rsidR="00953A1D" w:rsidRPr="00AF7185" w:rsidRDefault="00953A1D" w:rsidP="00B73486">
            <w:pPr>
              <w:spacing w:line="276" w:lineRule="auto"/>
              <w:ind w:right="141"/>
              <w:jc w:val="center"/>
              <w:rPr>
                <w:rFonts w:ascii="Arial" w:hAnsi="Arial" w:cs="Arial"/>
                <w:b/>
                <w:sz w:val="18"/>
                <w:szCs w:val="18"/>
              </w:rPr>
            </w:pPr>
          </w:p>
        </w:tc>
      </w:tr>
      <w:tr w:rsidR="00953A1D" w:rsidRPr="00AF7185" w14:paraId="1EA9CF85" w14:textId="77777777" w:rsidTr="00CC7392">
        <w:trPr>
          <w:trHeight w:val="564"/>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037BAC5A" w14:textId="188659D0" w:rsidR="00953A1D" w:rsidRPr="00AF7185" w:rsidRDefault="00AF7185" w:rsidP="00B73486">
            <w:pPr>
              <w:spacing w:line="360" w:lineRule="auto"/>
              <w:ind w:right="141"/>
              <w:jc w:val="both"/>
              <w:rPr>
                <w:rFonts w:ascii="Arial" w:hAnsi="Arial" w:cs="Arial"/>
                <w:sz w:val="18"/>
                <w:szCs w:val="18"/>
              </w:rPr>
            </w:pPr>
            <w:r w:rsidRPr="00AF7185">
              <w:rPr>
                <w:rFonts w:ascii="Arial" w:hAnsi="Arial" w:cs="Arial"/>
                <w:sz w:val="18"/>
                <w:szCs w:val="18"/>
              </w:rPr>
              <w:t>(5C) Inadecuada integración, control y resguardo de expedientes</w:t>
            </w:r>
          </w:p>
        </w:tc>
        <w:tc>
          <w:tcPr>
            <w:tcW w:w="1701" w:type="dxa"/>
            <w:tcBorders>
              <w:top w:val="single" w:sz="4" w:space="0" w:color="D9D9D9" w:themeColor="background1" w:themeShade="D9"/>
              <w:left w:val="nil"/>
              <w:bottom w:val="single" w:sz="4" w:space="0" w:color="auto"/>
              <w:right w:val="nil"/>
            </w:tcBorders>
            <w:shd w:val="clear" w:color="auto" w:fill="auto"/>
          </w:tcPr>
          <w:p w14:paraId="3A8FA9B3" w14:textId="2EF828DD" w:rsidR="00953A1D" w:rsidRPr="00AF7185" w:rsidRDefault="00953A1D" w:rsidP="00AF7185">
            <w:pPr>
              <w:spacing w:line="360" w:lineRule="auto"/>
              <w:ind w:right="141"/>
              <w:jc w:val="right"/>
              <w:rPr>
                <w:rFonts w:ascii="Arial" w:hAnsi="Arial" w:cs="Arial"/>
                <w:sz w:val="18"/>
                <w:szCs w:val="18"/>
              </w:rPr>
            </w:pPr>
            <w:r w:rsidRPr="00AF7185">
              <w:rPr>
                <w:rFonts w:ascii="Arial" w:hAnsi="Arial" w:cs="Arial"/>
                <w:sz w:val="18"/>
                <w:szCs w:val="18"/>
              </w:rPr>
              <w:t>$</w:t>
            </w:r>
            <w:r w:rsidR="00AF7185" w:rsidRPr="00AF7185">
              <w:rPr>
                <w:rFonts w:ascii="Arial" w:hAnsi="Arial" w:cs="Arial"/>
                <w:sz w:val="18"/>
                <w:szCs w:val="18"/>
              </w:rPr>
              <w:t>52,300.00</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346E09ED" w14:textId="5FD904A8" w:rsidR="00953A1D" w:rsidRPr="00AF7185" w:rsidRDefault="00953A1D" w:rsidP="00B73486">
            <w:pPr>
              <w:spacing w:line="360" w:lineRule="auto"/>
              <w:ind w:right="141"/>
              <w:jc w:val="right"/>
              <w:rPr>
                <w:rFonts w:ascii="Arial" w:hAnsi="Arial" w:cs="Arial"/>
                <w:sz w:val="18"/>
                <w:szCs w:val="18"/>
              </w:rPr>
            </w:pPr>
            <w:r w:rsidRPr="00AF7185">
              <w:rPr>
                <w:rFonts w:ascii="Arial" w:hAnsi="Arial" w:cs="Arial"/>
                <w:sz w:val="18"/>
                <w:szCs w:val="18"/>
              </w:rPr>
              <w:t>$</w:t>
            </w:r>
            <w:r w:rsidR="00AF7185" w:rsidRPr="00AF7185">
              <w:rPr>
                <w:rFonts w:ascii="Arial" w:hAnsi="Arial" w:cs="Arial"/>
                <w:sz w:val="18"/>
                <w:szCs w:val="18"/>
              </w:rPr>
              <w:t>52,300.00</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7C7F9107" w14:textId="77777777" w:rsidR="00953A1D" w:rsidRPr="00AF7185" w:rsidRDefault="00953A1D" w:rsidP="00B73486">
            <w:pPr>
              <w:spacing w:line="360" w:lineRule="auto"/>
              <w:ind w:right="141"/>
              <w:jc w:val="right"/>
              <w:rPr>
                <w:rFonts w:ascii="Arial" w:hAnsi="Arial" w:cs="Arial"/>
                <w:sz w:val="18"/>
                <w:szCs w:val="18"/>
              </w:rPr>
            </w:pPr>
            <w:r w:rsidRPr="00AF7185">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44EBA1C5" w14:textId="228864C8" w:rsidR="00953A1D" w:rsidRPr="00AF7185" w:rsidRDefault="00953A1D" w:rsidP="00B73486">
            <w:pPr>
              <w:spacing w:line="360" w:lineRule="auto"/>
              <w:ind w:right="141"/>
              <w:jc w:val="right"/>
              <w:rPr>
                <w:rFonts w:ascii="Arial" w:hAnsi="Arial" w:cs="Arial"/>
                <w:sz w:val="18"/>
                <w:szCs w:val="18"/>
              </w:rPr>
            </w:pPr>
            <w:r w:rsidRPr="00AF7185">
              <w:rPr>
                <w:rFonts w:ascii="Arial" w:hAnsi="Arial" w:cs="Arial"/>
                <w:sz w:val="18"/>
                <w:szCs w:val="18"/>
              </w:rPr>
              <w:t>$</w:t>
            </w:r>
            <w:r w:rsidR="003D29C7" w:rsidRPr="00AF7185">
              <w:rPr>
                <w:rFonts w:ascii="Arial" w:hAnsi="Arial" w:cs="Arial"/>
                <w:sz w:val="18"/>
                <w:szCs w:val="18"/>
              </w:rPr>
              <w:t>0</w:t>
            </w:r>
            <w:r w:rsidRPr="00AF7185">
              <w:rPr>
                <w:rFonts w:ascii="Arial" w:hAnsi="Arial" w:cs="Arial"/>
                <w:sz w:val="18"/>
                <w:szCs w:val="18"/>
              </w:rPr>
              <w:t>.00</w:t>
            </w:r>
          </w:p>
        </w:tc>
      </w:tr>
      <w:tr w:rsidR="00953A1D" w:rsidRPr="00D50730" w14:paraId="3B31D11D" w14:textId="77777777" w:rsidTr="00CC7392">
        <w:trPr>
          <w:trHeight w:val="3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D6A78D3" w14:textId="77777777" w:rsidR="00953A1D" w:rsidRPr="00AF7185" w:rsidRDefault="00953A1D" w:rsidP="00B73486">
            <w:pPr>
              <w:spacing w:line="276" w:lineRule="auto"/>
              <w:ind w:right="141"/>
              <w:jc w:val="right"/>
              <w:rPr>
                <w:rFonts w:ascii="Arial" w:hAnsi="Arial" w:cs="Arial"/>
                <w:b/>
                <w:sz w:val="18"/>
                <w:szCs w:val="18"/>
              </w:rPr>
            </w:pPr>
            <w:r w:rsidRPr="00AF7185">
              <w:rPr>
                <w:rFonts w:ascii="Arial" w:hAnsi="Arial" w:cs="Arial"/>
                <w:b/>
                <w:sz w:val="18"/>
                <w:szCs w:val="18"/>
              </w:rPr>
              <w:t>Totales</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08AA04E2" w14:textId="1B7EC7A4" w:rsidR="00953A1D" w:rsidRPr="00AF7185" w:rsidRDefault="00953A1D" w:rsidP="00AF7185">
            <w:pPr>
              <w:spacing w:line="276" w:lineRule="auto"/>
              <w:ind w:right="141"/>
              <w:jc w:val="right"/>
              <w:rPr>
                <w:rFonts w:ascii="Arial" w:hAnsi="Arial" w:cs="Arial"/>
                <w:b/>
                <w:sz w:val="18"/>
                <w:szCs w:val="18"/>
              </w:rPr>
            </w:pPr>
            <w:r w:rsidRPr="00AF7185">
              <w:rPr>
                <w:rFonts w:ascii="Arial" w:hAnsi="Arial" w:cs="Arial"/>
                <w:b/>
                <w:bCs/>
                <w:color w:val="000000"/>
                <w:sz w:val="18"/>
                <w:szCs w:val="18"/>
                <w:lang w:eastAsia="es-MX"/>
              </w:rPr>
              <w:t>$</w:t>
            </w:r>
            <w:r w:rsidR="00AF7185" w:rsidRPr="00AF7185">
              <w:rPr>
                <w:rFonts w:ascii="Arial" w:hAnsi="Arial" w:cs="Arial"/>
                <w:b/>
                <w:bCs/>
                <w:color w:val="000000"/>
                <w:sz w:val="18"/>
                <w:szCs w:val="18"/>
                <w:lang w:eastAsia="es-MX"/>
              </w:rPr>
              <w:t>52,300.00</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D89F77D" w14:textId="3122B0ED" w:rsidR="00953A1D" w:rsidRPr="00AF7185" w:rsidRDefault="00953A1D" w:rsidP="00B73486">
            <w:pPr>
              <w:spacing w:line="276" w:lineRule="auto"/>
              <w:ind w:right="141"/>
              <w:jc w:val="right"/>
              <w:rPr>
                <w:rFonts w:ascii="Arial" w:hAnsi="Arial" w:cs="Arial"/>
                <w:b/>
                <w:sz w:val="18"/>
                <w:szCs w:val="18"/>
              </w:rPr>
            </w:pPr>
            <w:r w:rsidRPr="00AF7185">
              <w:rPr>
                <w:rFonts w:ascii="Arial" w:hAnsi="Arial" w:cs="Arial"/>
                <w:b/>
                <w:sz w:val="18"/>
                <w:szCs w:val="18"/>
              </w:rPr>
              <w:t>$</w:t>
            </w:r>
            <w:r w:rsidR="00AF7185" w:rsidRPr="00AF7185">
              <w:rPr>
                <w:rFonts w:ascii="Arial" w:hAnsi="Arial" w:cs="Arial"/>
                <w:b/>
                <w:sz w:val="18"/>
                <w:szCs w:val="18"/>
              </w:rPr>
              <w:t>52,300.00</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30E868C1" w14:textId="77777777" w:rsidR="00953A1D" w:rsidRPr="00AF7185" w:rsidRDefault="00953A1D" w:rsidP="00B73486">
            <w:pPr>
              <w:spacing w:line="276" w:lineRule="auto"/>
              <w:ind w:right="141"/>
              <w:jc w:val="right"/>
              <w:rPr>
                <w:rFonts w:ascii="Arial" w:hAnsi="Arial" w:cs="Arial"/>
                <w:b/>
                <w:bCs/>
                <w:color w:val="000000"/>
                <w:sz w:val="18"/>
                <w:szCs w:val="18"/>
                <w:lang w:eastAsia="es-MX"/>
              </w:rPr>
            </w:pPr>
            <w:r w:rsidRPr="00AF7185">
              <w:rPr>
                <w:rFonts w:ascii="Arial" w:hAnsi="Arial" w:cs="Arial"/>
                <w:b/>
                <w:bCs/>
                <w:color w:val="000000"/>
                <w:sz w:val="18"/>
                <w:szCs w:val="18"/>
                <w:lang w:eastAsia="es-MX"/>
              </w:rPr>
              <w:t>$0.00</w:t>
            </w:r>
          </w:p>
        </w:tc>
        <w:tc>
          <w:tcPr>
            <w:tcW w:w="1667" w:type="dxa"/>
            <w:gridSpan w:val="2"/>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5F076EC8" w14:textId="27BBB421" w:rsidR="00953A1D" w:rsidRPr="00D50730" w:rsidRDefault="00953A1D" w:rsidP="00B73486">
            <w:pPr>
              <w:spacing w:line="276" w:lineRule="auto"/>
              <w:ind w:right="141"/>
              <w:jc w:val="right"/>
              <w:rPr>
                <w:rFonts w:ascii="Arial" w:hAnsi="Arial" w:cs="Arial"/>
                <w:b/>
                <w:bCs/>
                <w:color w:val="000000"/>
                <w:sz w:val="18"/>
                <w:szCs w:val="18"/>
                <w:lang w:eastAsia="es-MX"/>
              </w:rPr>
            </w:pPr>
            <w:r w:rsidRPr="00AF7185">
              <w:rPr>
                <w:rFonts w:ascii="Arial" w:hAnsi="Arial" w:cs="Arial"/>
                <w:b/>
                <w:bCs/>
                <w:color w:val="000000"/>
                <w:sz w:val="18"/>
                <w:szCs w:val="18"/>
                <w:lang w:eastAsia="es-MX"/>
              </w:rPr>
              <w:t>$</w:t>
            </w:r>
            <w:r w:rsidR="003D29C7" w:rsidRPr="00AF7185">
              <w:rPr>
                <w:rFonts w:ascii="Arial" w:hAnsi="Arial" w:cs="Arial"/>
                <w:b/>
                <w:bCs/>
                <w:color w:val="000000"/>
                <w:sz w:val="18"/>
                <w:szCs w:val="18"/>
                <w:lang w:eastAsia="es-MX"/>
              </w:rPr>
              <w:t>0.00</w:t>
            </w:r>
          </w:p>
        </w:tc>
      </w:tr>
    </w:tbl>
    <w:p w14:paraId="013012F1" w14:textId="77777777" w:rsidR="00953A1D" w:rsidRDefault="00953A1D" w:rsidP="00B73486">
      <w:pPr>
        <w:spacing w:line="360" w:lineRule="auto"/>
        <w:ind w:right="141"/>
        <w:jc w:val="both"/>
        <w:rPr>
          <w:rFonts w:ascii="Arial" w:hAnsi="Arial" w:cs="Arial"/>
          <w:b/>
          <w:bCs/>
        </w:rPr>
      </w:pPr>
    </w:p>
    <w:p w14:paraId="567F37E9" w14:textId="6355470A" w:rsidR="00A623C4" w:rsidRPr="009879F6" w:rsidRDefault="00A623C4" w:rsidP="00B73486">
      <w:pPr>
        <w:spacing w:line="360" w:lineRule="auto"/>
        <w:ind w:right="141"/>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14:paraId="6990B897" w14:textId="77777777" w:rsidR="00A623C4" w:rsidRPr="00BF48EE" w:rsidRDefault="00A623C4" w:rsidP="00B73486">
      <w:pPr>
        <w:spacing w:line="360" w:lineRule="auto"/>
        <w:ind w:right="141"/>
        <w:jc w:val="both"/>
        <w:rPr>
          <w:rFonts w:ascii="Arial" w:hAnsi="Arial" w:cs="Arial"/>
          <w:b/>
          <w:bCs/>
          <w:sz w:val="18"/>
          <w:szCs w:val="18"/>
        </w:rPr>
      </w:pPr>
    </w:p>
    <w:p w14:paraId="7006559D" w14:textId="57E4EFAB" w:rsidR="00A623C4" w:rsidRPr="009879F6" w:rsidRDefault="00A623C4" w:rsidP="00B73486">
      <w:pPr>
        <w:spacing w:line="360" w:lineRule="auto"/>
        <w:ind w:right="141"/>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BF48EE" w:rsidRDefault="00A623C4" w:rsidP="00B73486">
      <w:pPr>
        <w:spacing w:line="360" w:lineRule="auto"/>
        <w:ind w:right="141"/>
        <w:jc w:val="both"/>
        <w:rPr>
          <w:rFonts w:ascii="Arial" w:hAnsi="Arial" w:cs="Arial"/>
          <w:b/>
          <w:bCs/>
          <w:sz w:val="18"/>
          <w:szCs w:val="18"/>
        </w:rPr>
      </w:pPr>
    </w:p>
    <w:p w14:paraId="6F610671" w14:textId="77777777" w:rsidR="00A623C4" w:rsidRDefault="00A623C4" w:rsidP="00B73486">
      <w:pPr>
        <w:spacing w:line="360" w:lineRule="auto"/>
        <w:ind w:right="141"/>
        <w:jc w:val="both"/>
        <w:rPr>
          <w:rFonts w:ascii="Arial" w:hAnsi="Arial" w:cs="Arial"/>
          <w:b/>
          <w:bCs/>
        </w:rPr>
      </w:pPr>
      <w:r w:rsidRPr="009879F6">
        <w:rPr>
          <w:rFonts w:ascii="Arial" w:hAnsi="Arial" w:cs="Arial"/>
          <w:b/>
          <w:bCs/>
        </w:rPr>
        <w:t>A. Título de la Auditoría</w:t>
      </w:r>
    </w:p>
    <w:p w14:paraId="784100DA" w14:textId="77777777" w:rsidR="00A623C4" w:rsidRPr="00BF48EE" w:rsidRDefault="00A623C4" w:rsidP="00B73486">
      <w:pPr>
        <w:spacing w:line="360" w:lineRule="auto"/>
        <w:ind w:right="141"/>
        <w:jc w:val="both"/>
        <w:rPr>
          <w:rFonts w:ascii="Arial" w:hAnsi="Arial" w:cs="Arial"/>
          <w:b/>
          <w:bCs/>
          <w:sz w:val="16"/>
          <w:szCs w:val="16"/>
        </w:rPr>
      </w:pPr>
    </w:p>
    <w:p w14:paraId="70CAA94C" w14:textId="327C4AF3" w:rsidR="00A623C4" w:rsidRDefault="00A623C4" w:rsidP="00B73486">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sidR="004B5810">
        <w:rPr>
          <w:rFonts w:ascii="Arial" w:hAnsi="Arial" w:cs="Arial"/>
          <w:bCs/>
        </w:rPr>
        <w:t xml:space="preserve"> </w:t>
      </w:r>
      <w:r>
        <w:rPr>
          <w:rFonts w:ascii="Arial" w:hAnsi="Arial" w:cs="Arial"/>
          <w:bCs/>
        </w:rPr>
        <w:t>l</w:t>
      </w:r>
      <w:r w:rsidR="004B5810">
        <w:rPr>
          <w:rFonts w:ascii="Arial" w:hAnsi="Arial" w:cs="Arial"/>
          <w:bCs/>
        </w:rPr>
        <w:t>a</w:t>
      </w:r>
      <w:r w:rsidRPr="009879F6">
        <w:rPr>
          <w:rFonts w:ascii="Arial" w:hAnsi="Arial" w:cs="Arial"/>
          <w:bCs/>
        </w:rPr>
        <w:t xml:space="preserve"> </w:t>
      </w:r>
      <w:r w:rsidR="00AB2875">
        <w:rPr>
          <w:rFonts w:ascii="Arial" w:hAnsi="Arial" w:cs="Arial"/>
          <w:b/>
        </w:rPr>
        <w:t>Agencia de Proyectos Estratégicos del Estado de Quintana Roo</w:t>
      </w:r>
      <w:r>
        <w:rPr>
          <w:rFonts w:ascii="Arial" w:hAnsi="Arial" w:cs="Arial"/>
        </w:rPr>
        <w:t xml:space="preserve">, </w:t>
      </w:r>
      <w:r w:rsidRPr="009879F6">
        <w:rPr>
          <w:rFonts w:ascii="Arial" w:hAnsi="Arial" w:cs="Arial"/>
        </w:rPr>
        <w:t>de manera especial y enunciativa mas no limitativa, fue la siguiente:</w:t>
      </w:r>
    </w:p>
    <w:p w14:paraId="655415DB" w14:textId="77777777" w:rsidR="00BF48EE" w:rsidRPr="00BF48EE" w:rsidRDefault="00BF48EE" w:rsidP="00B73486">
      <w:pPr>
        <w:tabs>
          <w:tab w:val="left" w:pos="1040"/>
          <w:tab w:val="left" w:pos="9498"/>
        </w:tabs>
        <w:spacing w:line="360" w:lineRule="auto"/>
        <w:ind w:right="141"/>
        <w:jc w:val="both"/>
        <w:rPr>
          <w:rFonts w:ascii="Arial" w:hAnsi="Arial" w:cs="Arial"/>
          <w:sz w:val="18"/>
          <w:szCs w:val="18"/>
        </w:rPr>
      </w:pPr>
    </w:p>
    <w:tbl>
      <w:tblPr>
        <w:tblW w:w="5000" w:type="pct"/>
        <w:jc w:val="center"/>
        <w:tblLayout w:type="fixed"/>
        <w:tblCellMar>
          <w:left w:w="70" w:type="dxa"/>
          <w:right w:w="70" w:type="dxa"/>
        </w:tblCellMar>
        <w:tblLook w:val="04A0" w:firstRow="1" w:lastRow="0" w:firstColumn="1" w:lastColumn="0" w:noHBand="0" w:noVBand="1"/>
      </w:tblPr>
      <w:tblGrid>
        <w:gridCol w:w="3543"/>
        <w:gridCol w:w="6096"/>
      </w:tblGrid>
      <w:tr w:rsidR="00A623C4" w:rsidRPr="009879F6" w14:paraId="22ED60B4" w14:textId="77777777" w:rsidTr="00C142A1">
        <w:trPr>
          <w:trHeight w:val="678"/>
          <w:tblHeader/>
          <w:jc w:val="center"/>
        </w:trPr>
        <w:tc>
          <w:tcPr>
            <w:tcW w:w="1838" w:type="pct"/>
            <w:shd w:val="clear" w:color="auto" w:fill="auto"/>
          </w:tcPr>
          <w:p w14:paraId="54E8B8F7" w14:textId="08C87801" w:rsidR="00A623C4" w:rsidRPr="009879F6" w:rsidRDefault="00997CEC" w:rsidP="00B73486">
            <w:pPr>
              <w:spacing w:line="360" w:lineRule="auto"/>
              <w:ind w:right="141"/>
              <w:jc w:val="both"/>
              <w:rPr>
                <w:rFonts w:ascii="Arial" w:hAnsi="Arial" w:cs="Arial"/>
                <w:b/>
                <w:bCs/>
              </w:rPr>
            </w:pPr>
            <w:r w:rsidRPr="00997CEC">
              <w:rPr>
                <w:rFonts w:ascii="Arial" w:hAnsi="Arial" w:cs="Arial"/>
                <w:b/>
                <w:bCs/>
              </w:rPr>
              <w:t>21-AEMF-E-GOB-022-040</w:t>
            </w:r>
          </w:p>
        </w:tc>
        <w:tc>
          <w:tcPr>
            <w:tcW w:w="3162" w:type="pct"/>
            <w:shd w:val="clear" w:color="auto" w:fill="auto"/>
          </w:tcPr>
          <w:p w14:paraId="287B72BC" w14:textId="2932B552" w:rsidR="00A623C4" w:rsidRPr="009879F6" w:rsidRDefault="00A623C4" w:rsidP="00F45E51">
            <w:pPr>
              <w:spacing w:line="360" w:lineRule="auto"/>
              <w:ind w:right="141"/>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sidR="00DD5FFA">
              <w:rPr>
                <w:rFonts w:ascii="Arial" w:hAnsi="Arial" w:cs="Arial"/>
                <w:bCs/>
              </w:rPr>
              <w:t>Gastos y Otras Pérdidas</w:t>
            </w:r>
            <w:r w:rsidRPr="00EC4C04">
              <w:rPr>
                <w:rFonts w:ascii="Arial" w:hAnsi="Arial" w:cs="Arial"/>
                <w:bCs/>
              </w:rPr>
              <w:t>”</w:t>
            </w:r>
          </w:p>
        </w:tc>
      </w:tr>
    </w:tbl>
    <w:p w14:paraId="27A277DB" w14:textId="77777777" w:rsidR="00F45E51" w:rsidRDefault="00F45E51" w:rsidP="00B73486">
      <w:pPr>
        <w:spacing w:line="360" w:lineRule="auto"/>
        <w:ind w:right="141"/>
        <w:jc w:val="both"/>
        <w:rPr>
          <w:rFonts w:ascii="Arial" w:hAnsi="Arial" w:cs="Arial"/>
          <w:b/>
          <w:bCs/>
        </w:rPr>
      </w:pPr>
    </w:p>
    <w:p w14:paraId="07A39B08" w14:textId="123573A7" w:rsidR="00A623C4" w:rsidRDefault="00A623C4" w:rsidP="00B73486">
      <w:pPr>
        <w:spacing w:line="360" w:lineRule="auto"/>
        <w:ind w:right="141"/>
        <w:jc w:val="both"/>
        <w:rPr>
          <w:rFonts w:ascii="Arial" w:hAnsi="Arial" w:cs="Arial"/>
          <w:b/>
          <w:bCs/>
        </w:rPr>
      </w:pPr>
      <w:r w:rsidRPr="009879F6">
        <w:rPr>
          <w:rFonts w:ascii="Arial" w:hAnsi="Arial" w:cs="Arial"/>
          <w:b/>
          <w:bCs/>
        </w:rPr>
        <w:t>B. Objetivo</w:t>
      </w:r>
    </w:p>
    <w:p w14:paraId="2A7F39E1" w14:textId="77777777" w:rsidR="00A623C4" w:rsidRPr="00BF48EE" w:rsidRDefault="00A623C4" w:rsidP="00B73486">
      <w:pPr>
        <w:spacing w:line="360" w:lineRule="auto"/>
        <w:ind w:right="141"/>
        <w:jc w:val="both"/>
        <w:rPr>
          <w:rFonts w:ascii="Arial" w:hAnsi="Arial" w:cs="Arial"/>
          <w:b/>
          <w:bCs/>
          <w:sz w:val="16"/>
          <w:szCs w:val="16"/>
        </w:rPr>
      </w:pPr>
    </w:p>
    <w:p w14:paraId="34BDA243" w14:textId="6EED1BE5" w:rsidR="00A623C4" w:rsidRDefault="00DD5FFA" w:rsidP="00B73486">
      <w:pPr>
        <w:spacing w:line="360" w:lineRule="auto"/>
        <w:ind w:right="141"/>
        <w:jc w:val="both"/>
        <w:rPr>
          <w:rFonts w:ascii="Arial" w:hAnsi="Arial" w:cs="Arial"/>
        </w:rPr>
      </w:pPr>
      <w:r w:rsidRPr="00DD5FFA">
        <w:rPr>
          <w:rFonts w:ascii="Arial" w:hAnsi="Arial" w:cs="Arial"/>
        </w:rPr>
        <w:lastRenderedPageBreak/>
        <w:t xml:space="preserve">Fiscalizar la gestión financiera para comprobar el cumplimiento de lo dispuesto en el Presupuesto de Egresos para el ejercicio fiscal </w:t>
      </w:r>
      <w:r>
        <w:rPr>
          <w:rFonts w:ascii="Arial" w:hAnsi="Arial" w:cs="Arial"/>
        </w:rPr>
        <w:t>202</w:t>
      </w:r>
      <w:r w:rsidR="00997CEC">
        <w:rPr>
          <w:rFonts w:ascii="Arial" w:hAnsi="Arial" w:cs="Arial"/>
        </w:rPr>
        <w:t>1</w:t>
      </w:r>
      <w:r w:rsidRPr="00DD5FFA">
        <w:rPr>
          <w:rFonts w:ascii="Arial" w:hAnsi="Arial" w:cs="Arial"/>
        </w:rPr>
        <w:t xml:space="preserve">, y demás disposiciones legales aplicables, en cuanto al gasto público, </w:t>
      </w:r>
      <w:r w:rsidRPr="00646DFA">
        <w:rPr>
          <w:rFonts w:ascii="Arial" w:hAnsi="Arial" w:cs="Arial"/>
        </w:rPr>
        <w:t>incluyendo la revisión del manejo, la custodia y la aplicación</w:t>
      </w:r>
      <w:r w:rsidRPr="00DD5FFA">
        <w:rPr>
          <w:rFonts w:ascii="Arial" w:hAnsi="Arial" w:cs="Arial"/>
        </w:rPr>
        <w:t xml:space="preserve"> de recursos públicos estatales</w:t>
      </w:r>
      <w:r w:rsidR="004B5810">
        <w:rPr>
          <w:rFonts w:ascii="Arial" w:hAnsi="Arial" w:cs="Arial"/>
        </w:rPr>
        <w:t xml:space="preserve"> y propios</w:t>
      </w:r>
      <w:r w:rsidRPr="00DD5FFA">
        <w:rPr>
          <w:rFonts w:ascii="Arial" w:hAnsi="Arial" w:cs="Arial"/>
        </w:rPr>
        <w:t>, así como de la demás información financiera, contable, patrimonial, presupuestaria y programática, conforme a las disposiciones aplicables.</w:t>
      </w:r>
    </w:p>
    <w:p w14:paraId="02011C46" w14:textId="49C143A9" w:rsidR="00DD5FFA" w:rsidRDefault="00DD5FFA" w:rsidP="00B73486">
      <w:pPr>
        <w:spacing w:line="360" w:lineRule="auto"/>
        <w:ind w:right="141"/>
        <w:jc w:val="both"/>
        <w:rPr>
          <w:rFonts w:ascii="Arial" w:hAnsi="Arial" w:cs="Arial"/>
          <w:bCs/>
        </w:rPr>
      </w:pPr>
    </w:p>
    <w:p w14:paraId="6A06A2C1" w14:textId="77777777" w:rsidR="00A623C4" w:rsidRPr="00AA50F2" w:rsidRDefault="00A623C4" w:rsidP="00B73486">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1B9EABB8" w14:textId="77777777" w:rsidR="00A623C4" w:rsidRPr="00F45E51" w:rsidRDefault="00A623C4" w:rsidP="00B73486">
      <w:pPr>
        <w:spacing w:line="360" w:lineRule="auto"/>
        <w:ind w:right="141"/>
        <w:jc w:val="both"/>
        <w:rPr>
          <w:rFonts w:ascii="Arial" w:hAnsi="Arial" w:cs="Arial"/>
          <w:sz w:val="20"/>
          <w:szCs w:val="20"/>
        </w:rPr>
      </w:pPr>
    </w:p>
    <w:p w14:paraId="312E7102" w14:textId="71CAE6B0" w:rsidR="00A623C4" w:rsidRPr="009879F6" w:rsidRDefault="00A623C4" w:rsidP="00B73486">
      <w:pPr>
        <w:spacing w:line="360" w:lineRule="auto"/>
        <w:ind w:right="141"/>
        <w:jc w:val="both"/>
        <w:rPr>
          <w:rFonts w:ascii="Arial" w:hAnsi="Arial" w:cs="Arial"/>
        </w:rPr>
      </w:pPr>
      <w:r w:rsidRPr="009879F6">
        <w:rPr>
          <w:rFonts w:ascii="Arial" w:hAnsi="Arial" w:cs="Arial"/>
          <w:b/>
        </w:rPr>
        <w:t xml:space="preserve">Universo: </w:t>
      </w:r>
      <w:r w:rsidRPr="009879F6">
        <w:rPr>
          <w:rFonts w:ascii="Arial" w:hAnsi="Arial" w:cs="Arial"/>
        </w:rPr>
        <w:t>$</w:t>
      </w:r>
      <w:r w:rsidR="00074DAE">
        <w:rPr>
          <w:rFonts w:ascii="Arial" w:hAnsi="Arial" w:cs="Arial"/>
        </w:rPr>
        <w:t>280,566,600.04</w:t>
      </w:r>
    </w:p>
    <w:p w14:paraId="5DB23849" w14:textId="77777777" w:rsidR="00A623C4" w:rsidRPr="00F45E51" w:rsidRDefault="00A623C4" w:rsidP="00B73486">
      <w:pPr>
        <w:spacing w:line="360" w:lineRule="auto"/>
        <w:ind w:right="141"/>
        <w:rPr>
          <w:rFonts w:ascii="Arial" w:hAnsi="Arial" w:cs="Arial"/>
          <w:sz w:val="20"/>
          <w:szCs w:val="20"/>
        </w:rPr>
      </w:pPr>
    </w:p>
    <w:p w14:paraId="19262B34" w14:textId="18A3901F" w:rsidR="00A623C4" w:rsidRPr="00BD2CDC" w:rsidRDefault="00A623C4" w:rsidP="00B73486">
      <w:pPr>
        <w:spacing w:line="360" w:lineRule="auto"/>
        <w:ind w:right="141"/>
        <w:rPr>
          <w:rFonts w:ascii="Arial" w:hAnsi="Arial" w:cs="Arial"/>
        </w:rPr>
      </w:pPr>
      <w:r w:rsidRPr="00BD2CDC">
        <w:rPr>
          <w:rFonts w:ascii="Arial" w:hAnsi="Arial" w:cs="Arial"/>
          <w:b/>
        </w:rPr>
        <w:t xml:space="preserve">Población Objetivo: </w:t>
      </w:r>
      <w:r w:rsidRPr="00BD2CDC">
        <w:rPr>
          <w:rFonts w:ascii="Arial" w:hAnsi="Arial" w:cs="Arial"/>
        </w:rPr>
        <w:t>$</w:t>
      </w:r>
      <w:r w:rsidR="00A820DF" w:rsidRPr="00BD2CDC">
        <w:rPr>
          <w:rFonts w:ascii="Arial" w:hAnsi="Arial" w:cs="Arial"/>
        </w:rPr>
        <w:t>271,394,631.24</w:t>
      </w:r>
    </w:p>
    <w:p w14:paraId="685425D5" w14:textId="77777777" w:rsidR="00A623C4" w:rsidRPr="00BD2CDC" w:rsidRDefault="00A623C4" w:rsidP="00B73486">
      <w:pPr>
        <w:spacing w:line="360" w:lineRule="auto"/>
        <w:ind w:right="141"/>
        <w:rPr>
          <w:rFonts w:ascii="Arial" w:hAnsi="Arial" w:cs="Arial"/>
          <w:sz w:val="20"/>
          <w:szCs w:val="20"/>
        </w:rPr>
      </w:pPr>
    </w:p>
    <w:p w14:paraId="7F3C4234" w14:textId="77427AD2" w:rsidR="00A623C4" w:rsidRPr="00BD2CDC" w:rsidRDefault="00A623C4" w:rsidP="00B73486">
      <w:pPr>
        <w:spacing w:line="360" w:lineRule="auto"/>
        <w:ind w:right="141"/>
        <w:rPr>
          <w:rFonts w:ascii="Arial" w:hAnsi="Arial" w:cs="Arial"/>
        </w:rPr>
      </w:pPr>
      <w:r w:rsidRPr="00BD2CDC">
        <w:rPr>
          <w:rFonts w:ascii="Arial" w:hAnsi="Arial" w:cs="Arial"/>
          <w:b/>
        </w:rPr>
        <w:t>Muestra Auditada:</w:t>
      </w:r>
      <w:r w:rsidR="00646DFA" w:rsidRPr="00BD2CDC">
        <w:rPr>
          <w:rFonts w:ascii="Arial" w:hAnsi="Arial" w:cs="Arial"/>
        </w:rPr>
        <w:t xml:space="preserve"> </w:t>
      </w:r>
      <w:r w:rsidRPr="00BD2CDC">
        <w:rPr>
          <w:rFonts w:ascii="Arial" w:hAnsi="Arial" w:cs="Arial"/>
        </w:rPr>
        <w:t>$</w:t>
      </w:r>
      <w:r w:rsidR="00BD2CDC" w:rsidRPr="00BD2CDC">
        <w:rPr>
          <w:rFonts w:ascii="Arial" w:hAnsi="Arial" w:cs="Arial"/>
        </w:rPr>
        <w:t>209,991,775.24</w:t>
      </w:r>
    </w:p>
    <w:p w14:paraId="45C4BF53" w14:textId="77777777" w:rsidR="00A623C4" w:rsidRPr="00A820DF" w:rsidRDefault="00A623C4" w:rsidP="00B73486">
      <w:pPr>
        <w:spacing w:line="360" w:lineRule="auto"/>
        <w:ind w:right="141"/>
        <w:rPr>
          <w:rFonts w:ascii="Arial" w:hAnsi="Arial" w:cs="Arial"/>
          <w:sz w:val="20"/>
          <w:szCs w:val="20"/>
          <w:highlight w:val="yellow"/>
        </w:rPr>
      </w:pPr>
    </w:p>
    <w:p w14:paraId="27ECA580" w14:textId="7596C7C0" w:rsidR="00A623C4" w:rsidRPr="009879F6" w:rsidRDefault="00A623C4" w:rsidP="00B73486">
      <w:pPr>
        <w:spacing w:line="360" w:lineRule="auto"/>
        <w:ind w:right="141"/>
        <w:rPr>
          <w:rFonts w:ascii="Arial" w:hAnsi="Arial" w:cs="Arial"/>
        </w:rPr>
      </w:pPr>
      <w:r w:rsidRPr="00BD2CDC">
        <w:rPr>
          <w:rFonts w:ascii="Arial" w:hAnsi="Arial" w:cs="Arial"/>
          <w:b/>
        </w:rPr>
        <w:t>Representatividad de la Muestra:</w:t>
      </w:r>
      <w:r w:rsidRPr="00BD2CDC">
        <w:rPr>
          <w:rFonts w:ascii="Arial" w:hAnsi="Arial" w:cs="Arial"/>
        </w:rPr>
        <w:t xml:space="preserve"> </w:t>
      </w:r>
      <w:r w:rsidR="00BD2CDC" w:rsidRPr="00BD2CDC">
        <w:rPr>
          <w:rFonts w:ascii="Arial" w:hAnsi="Arial" w:cs="Arial"/>
        </w:rPr>
        <w:t>77.38</w:t>
      </w:r>
      <w:r w:rsidRPr="00BD2CDC">
        <w:rPr>
          <w:rFonts w:ascii="Arial" w:hAnsi="Arial" w:cs="Arial"/>
        </w:rPr>
        <w:t>%</w:t>
      </w:r>
    </w:p>
    <w:p w14:paraId="3C95EAE1" w14:textId="4772E640" w:rsidR="00A623C4" w:rsidRPr="00F45E51" w:rsidRDefault="00A623C4" w:rsidP="00B73486">
      <w:pPr>
        <w:spacing w:line="360" w:lineRule="auto"/>
        <w:ind w:right="141"/>
        <w:jc w:val="both"/>
        <w:rPr>
          <w:rFonts w:ascii="Arial" w:hAnsi="Arial" w:cs="Arial"/>
          <w:sz w:val="20"/>
          <w:szCs w:val="20"/>
        </w:rPr>
      </w:pPr>
    </w:p>
    <w:p w14:paraId="22F1E40B" w14:textId="77777777" w:rsidR="00142107" w:rsidRPr="002E2B2B" w:rsidRDefault="00142107" w:rsidP="00B73486">
      <w:pPr>
        <w:spacing w:line="360" w:lineRule="auto"/>
        <w:ind w:right="141"/>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estatales e ingresos propios</w:t>
      </w:r>
      <w:r w:rsidRPr="002E2B2B">
        <w:rPr>
          <w:rFonts w:ascii="Arial" w:hAnsi="Arial" w:cs="Arial"/>
        </w:rPr>
        <w:t>.</w:t>
      </w:r>
    </w:p>
    <w:p w14:paraId="1DF80EFA" w14:textId="77777777" w:rsidR="00142107" w:rsidRPr="004B4FE2" w:rsidRDefault="00142107" w:rsidP="00B73486">
      <w:pPr>
        <w:spacing w:line="360" w:lineRule="auto"/>
        <w:ind w:right="141"/>
        <w:jc w:val="both"/>
        <w:rPr>
          <w:rFonts w:ascii="Arial" w:hAnsi="Arial" w:cs="Arial"/>
          <w:sz w:val="18"/>
          <w:szCs w:val="18"/>
        </w:rPr>
      </w:pPr>
    </w:p>
    <w:p w14:paraId="0752CA40" w14:textId="018C615E" w:rsidR="00142107" w:rsidRDefault="00D404D2" w:rsidP="00B73486">
      <w:pPr>
        <w:spacing w:line="360" w:lineRule="auto"/>
        <w:ind w:right="141"/>
        <w:jc w:val="both"/>
        <w:rPr>
          <w:rFonts w:ascii="Arial" w:hAnsi="Arial" w:cs="Arial"/>
        </w:rPr>
      </w:pPr>
      <w:r>
        <w:rPr>
          <w:rFonts w:ascii="Arial" w:hAnsi="Arial" w:cs="Arial"/>
        </w:rPr>
        <w:t xml:space="preserve">De </w:t>
      </w:r>
      <w:r w:rsidR="00B73486">
        <w:rPr>
          <w:rFonts w:ascii="Arial" w:hAnsi="Arial" w:cs="Arial"/>
        </w:rPr>
        <w:t>sus</w:t>
      </w:r>
      <w:r>
        <w:rPr>
          <w:rFonts w:ascii="Arial" w:hAnsi="Arial" w:cs="Arial"/>
        </w:rPr>
        <w:t xml:space="preserve"> ingresos propios </w:t>
      </w:r>
      <w:r w:rsidR="00B73486">
        <w:rPr>
          <w:rFonts w:ascii="Arial" w:hAnsi="Arial" w:cs="Arial"/>
        </w:rPr>
        <w:t>la Agencia</w:t>
      </w:r>
      <w:r w:rsidR="00086721">
        <w:rPr>
          <w:rFonts w:ascii="Arial" w:hAnsi="Arial" w:cs="Arial"/>
        </w:rPr>
        <w:t xml:space="preserve"> </w:t>
      </w:r>
      <w:r w:rsidR="00086721" w:rsidRPr="00086721">
        <w:rPr>
          <w:rFonts w:ascii="Arial" w:hAnsi="Arial" w:cs="Arial"/>
          <w:bCs/>
          <w:lang w:eastAsia="es-MX"/>
        </w:rPr>
        <w:t>de Proyectos Estratégicos de Quintana Roo</w:t>
      </w:r>
      <w:r>
        <w:rPr>
          <w:rFonts w:ascii="Arial" w:hAnsi="Arial" w:cs="Arial"/>
        </w:rPr>
        <w:t xml:space="preserve"> aplicó recursos para el</w:t>
      </w:r>
      <w:r w:rsidR="00142107" w:rsidRPr="00846FEA">
        <w:rPr>
          <w:rFonts w:ascii="Arial" w:hAnsi="Arial" w:cs="Arial"/>
        </w:rPr>
        <w:t xml:space="preserve"> capítulo </w:t>
      </w:r>
      <w:r w:rsidR="00B73486">
        <w:rPr>
          <w:rFonts w:ascii="Arial" w:hAnsi="Arial" w:cs="Arial"/>
        </w:rPr>
        <w:t xml:space="preserve">6000 </w:t>
      </w:r>
      <w:r w:rsidR="00142107" w:rsidRPr="00846FEA">
        <w:rPr>
          <w:rFonts w:ascii="Arial" w:hAnsi="Arial" w:cs="Arial"/>
        </w:rPr>
        <w:t xml:space="preserve">Inversión Pública la cantidad de </w:t>
      </w:r>
      <w:r w:rsidR="00142107" w:rsidRPr="00316B62">
        <w:rPr>
          <w:rFonts w:ascii="Arial" w:hAnsi="Arial" w:cs="Arial"/>
        </w:rPr>
        <w:t>$</w:t>
      </w:r>
      <w:r w:rsidR="00A820DF">
        <w:rPr>
          <w:rFonts w:ascii="Arial" w:hAnsi="Arial" w:cs="Arial"/>
        </w:rPr>
        <w:t>9,171,968.80</w:t>
      </w:r>
      <w:r w:rsidR="007B034C">
        <w:rPr>
          <w:rFonts w:ascii="Arial" w:hAnsi="Arial" w:cs="Arial"/>
        </w:rPr>
        <w:t xml:space="preserve"> (Son: </w:t>
      </w:r>
      <w:r w:rsidR="00A820DF">
        <w:rPr>
          <w:rFonts w:ascii="Arial" w:hAnsi="Arial" w:cs="Arial"/>
        </w:rPr>
        <w:t xml:space="preserve">nueve millones ciento setenta y </w:t>
      </w:r>
      <w:proofErr w:type="gramStart"/>
      <w:r w:rsidR="00A820DF">
        <w:rPr>
          <w:rFonts w:ascii="Arial" w:hAnsi="Arial" w:cs="Arial"/>
        </w:rPr>
        <w:t>un</w:t>
      </w:r>
      <w:r w:rsidR="007B034C">
        <w:rPr>
          <w:rFonts w:ascii="Arial" w:hAnsi="Arial" w:cs="Arial"/>
        </w:rPr>
        <w:t xml:space="preserve"> mil </w:t>
      </w:r>
      <w:r w:rsidR="00A820DF">
        <w:rPr>
          <w:rFonts w:ascii="Arial" w:hAnsi="Arial" w:cs="Arial"/>
        </w:rPr>
        <w:t>novecientos sesenta y ocho pesos</w:t>
      </w:r>
      <w:proofErr w:type="gramEnd"/>
      <w:r w:rsidR="00A820DF">
        <w:rPr>
          <w:rFonts w:ascii="Arial" w:hAnsi="Arial" w:cs="Arial"/>
        </w:rPr>
        <w:t xml:space="preserve"> 8</w:t>
      </w:r>
      <w:r w:rsidR="007B034C">
        <w:rPr>
          <w:rFonts w:ascii="Arial" w:hAnsi="Arial" w:cs="Arial"/>
        </w:rPr>
        <w:t>0/100 M.N.)</w:t>
      </w:r>
      <w:r>
        <w:rPr>
          <w:rFonts w:ascii="Arial" w:hAnsi="Arial" w:cs="Arial"/>
        </w:rPr>
        <w:t>, mismos que no fueron considerados en la Población Objetivo y Muestra Auditada.</w:t>
      </w:r>
    </w:p>
    <w:p w14:paraId="5E60893C" w14:textId="77777777" w:rsidR="00A623C4" w:rsidRPr="004B4FE2" w:rsidRDefault="00A623C4" w:rsidP="00B73486">
      <w:pPr>
        <w:spacing w:line="360" w:lineRule="auto"/>
        <w:ind w:right="141"/>
        <w:jc w:val="both"/>
        <w:rPr>
          <w:rFonts w:ascii="Arial" w:hAnsi="Arial" w:cs="Arial"/>
          <w:sz w:val="18"/>
          <w:szCs w:val="18"/>
        </w:rPr>
      </w:pPr>
    </w:p>
    <w:p w14:paraId="57446445" w14:textId="1220E1BD" w:rsidR="00A623C4" w:rsidRDefault="00DD5FFA" w:rsidP="00F411FF">
      <w:pPr>
        <w:spacing w:line="360" w:lineRule="auto"/>
        <w:ind w:right="141"/>
        <w:jc w:val="both"/>
        <w:rPr>
          <w:rFonts w:ascii="Arial" w:hAnsi="Arial" w:cs="Arial"/>
        </w:rPr>
      </w:pPr>
      <w:r w:rsidRPr="00DD5FFA">
        <w:rPr>
          <w:rFonts w:ascii="Arial" w:hAnsi="Arial" w:cs="Arial"/>
        </w:rPr>
        <w:t xml:space="preserve">La población objetivo se determinó sobre la base de los gastos que forman parte del Estado Analítico del Ejercicio del Presupuesto de Egresos </w:t>
      </w:r>
      <w:r w:rsidR="00EC70FA">
        <w:rPr>
          <w:rFonts w:ascii="Arial" w:hAnsi="Arial" w:cs="Arial"/>
        </w:rPr>
        <w:t xml:space="preserve">por Objeto del Gasto </w:t>
      </w:r>
      <w:r w:rsidRPr="00DD5FFA">
        <w:rPr>
          <w:rFonts w:ascii="Arial" w:hAnsi="Arial" w:cs="Arial"/>
        </w:rPr>
        <w:t>por el período comprendido del 01 de enero al 31 de diciembre de 202</w:t>
      </w:r>
      <w:r w:rsidR="00A820DF">
        <w:rPr>
          <w:rFonts w:ascii="Arial" w:hAnsi="Arial" w:cs="Arial"/>
        </w:rPr>
        <w:t>1</w:t>
      </w:r>
      <w:r w:rsidR="00F411FF">
        <w:rPr>
          <w:rFonts w:ascii="Arial" w:hAnsi="Arial" w:cs="Arial"/>
        </w:rPr>
        <w:t>.</w:t>
      </w:r>
      <w:r w:rsidRPr="00DD5FFA">
        <w:rPr>
          <w:rFonts w:ascii="Arial" w:hAnsi="Arial" w:cs="Arial"/>
        </w:rPr>
        <w:t xml:space="preserve"> </w:t>
      </w:r>
    </w:p>
    <w:p w14:paraId="1280CFF4" w14:textId="77777777" w:rsidR="00F411FF" w:rsidRDefault="00F411FF" w:rsidP="00F411FF">
      <w:pPr>
        <w:spacing w:line="360" w:lineRule="auto"/>
        <w:ind w:right="141"/>
        <w:jc w:val="both"/>
        <w:rPr>
          <w:rFonts w:ascii="Arial" w:hAnsi="Arial" w:cs="Arial"/>
          <w:bCs/>
        </w:rPr>
      </w:pPr>
    </w:p>
    <w:p w14:paraId="04BAED81" w14:textId="77777777" w:rsidR="00A623C4" w:rsidRDefault="00A623C4" w:rsidP="00B73486">
      <w:pPr>
        <w:spacing w:line="360" w:lineRule="auto"/>
        <w:ind w:right="141"/>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Pr="000F639A" w:rsidRDefault="00A623C4" w:rsidP="00B73486">
      <w:pPr>
        <w:tabs>
          <w:tab w:val="left" w:pos="9498"/>
        </w:tabs>
        <w:spacing w:line="360" w:lineRule="auto"/>
        <w:ind w:right="141"/>
        <w:jc w:val="both"/>
        <w:rPr>
          <w:rFonts w:ascii="Arial" w:hAnsi="Arial" w:cs="Arial"/>
          <w:bCs/>
          <w:sz w:val="16"/>
          <w:szCs w:val="16"/>
        </w:rPr>
      </w:pPr>
    </w:p>
    <w:p w14:paraId="43BAC07B" w14:textId="67D38370" w:rsidR="00A623C4" w:rsidRPr="009879F6" w:rsidRDefault="00A623C4" w:rsidP="00B73486">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5539C6">
        <w:rPr>
          <w:rFonts w:ascii="Arial" w:hAnsi="Arial" w:cs="Arial"/>
          <w:bCs/>
        </w:rPr>
        <w:t>gastos y otras pérdidas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E771110" w14:textId="77777777" w:rsidR="00A623C4" w:rsidRPr="000F639A" w:rsidRDefault="00A623C4" w:rsidP="00B73486">
      <w:pPr>
        <w:spacing w:line="360" w:lineRule="auto"/>
        <w:ind w:right="141"/>
        <w:jc w:val="both"/>
        <w:rPr>
          <w:rFonts w:ascii="Arial" w:hAnsi="Arial" w:cs="Arial"/>
          <w:bCs/>
          <w:sz w:val="16"/>
          <w:szCs w:val="16"/>
        </w:rPr>
      </w:pPr>
    </w:p>
    <w:p w14:paraId="68D67F9B" w14:textId="361D3726" w:rsidR="00A623C4" w:rsidRDefault="00A623C4" w:rsidP="00B73486">
      <w:pPr>
        <w:spacing w:line="360" w:lineRule="auto"/>
        <w:ind w:right="141"/>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4B5810">
        <w:rPr>
          <w:rFonts w:ascii="Arial" w:hAnsi="Arial" w:cs="Arial"/>
          <w:bCs/>
        </w:rPr>
        <w:t xml:space="preserve"> </w:t>
      </w:r>
      <w:r w:rsidRPr="009879F6">
        <w:rPr>
          <w:rFonts w:ascii="Arial" w:hAnsi="Arial" w:cs="Arial"/>
          <w:bCs/>
        </w:rPr>
        <w:t>l</w:t>
      </w:r>
      <w:r w:rsidR="004B5810">
        <w:rPr>
          <w:rFonts w:ascii="Arial" w:hAnsi="Arial" w:cs="Arial"/>
          <w:bCs/>
        </w:rPr>
        <w:t>a</w:t>
      </w:r>
      <w:r w:rsidRPr="009879F6">
        <w:rPr>
          <w:rFonts w:ascii="Arial" w:hAnsi="Arial" w:cs="Arial"/>
          <w:bCs/>
        </w:rPr>
        <w:t xml:space="preserve"> </w:t>
      </w:r>
      <w:r w:rsidR="00AB2875">
        <w:rPr>
          <w:rFonts w:ascii="Arial" w:hAnsi="Arial" w:cs="Arial"/>
          <w:b/>
        </w:rPr>
        <w:t>Agencia de Proyectos Estratégicos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EA53A0" w14:textId="77777777" w:rsidR="00A623C4" w:rsidRPr="000F639A" w:rsidRDefault="00A623C4" w:rsidP="00B73486">
      <w:pPr>
        <w:spacing w:line="360" w:lineRule="auto"/>
        <w:ind w:right="141"/>
        <w:jc w:val="both"/>
        <w:rPr>
          <w:rFonts w:ascii="Arial" w:hAnsi="Arial" w:cs="Arial"/>
          <w:bCs/>
          <w:sz w:val="16"/>
          <w:szCs w:val="16"/>
        </w:rPr>
      </w:pPr>
    </w:p>
    <w:p w14:paraId="4396CD55" w14:textId="77777777" w:rsidR="00A623C4" w:rsidRDefault="00A623C4" w:rsidP="00B73486">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fiscalizadora, basándose en diversos elementos y factores que se integraron </w:t>
      </w:r>
      <w:r w:rsidRPr="001747A8">
        <w:rPr>
          <w:rFonts w:ascii="Arial" w:hAnsi="Arial" w:cs="Arial"/>
          <w:bCs/>
        </w:rPr>
        <w:lastRenderedPageBreak/>
        <w:t>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B50162A" w14:textId="77777777" w:rsidR="00A623C4" w:rsidRPr="00BF48EE" w:rsidRDefault="00A623C4" w:rsidP="00B73486">
      <w:pPr>
        <w:spacing w:line="360" w:lineRule="auto"/>
        <w:ind w:right="141"/>
        <w:jc w:val="both"/>
        <w:rPr>
          <w:rFonts w:ascii="Arial" w:hAnsi="Arial" w:cs="Arial"/>
          <w:b/>
        </w:rPr>
      </w:pPr>
    </w:p>
    <w:p w14:paraId="1A6F0C65" w14:textId="77777777" w:rsidR="00A623C4" w:rsidRPr="008D4630" w:rsidRDefault="00A623C4" w:rsidP="00B73486">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0F639A" w:rsidRDefault="00A623C4" w:rsidP="00B73486">
      <w:pPr>
        <w:spacing w:line="360" w:lineRule="auto"/>
        <w:ind w:right="141"/>
        <w:jc w:val="both"/>
        <w:rPr>
          <w:rFonts w:ascii="Arial" w:hAnsi="Arial" w:cs="Arial"/>
          <w:b/>
          <w:sz w:val="16"/>
          <w:szCs w:val="16"/>
        </w:rPr>
      </w:pPr>
    </w:p>
    <w:p w14:paraId="4B503BA2" w14:textId="6BA2ADEB" w:rsidR="00A623C4" w:rsidRDefault="00A623C4" w:rsidP="00B73486">
      <w:pPr>
        <w:spacing w:line="360" w:lineRule="auto"/>
        <w:ind w:right="141"/>
        <w:jc w:val="both"/>
        <w:rPr>
          <w:rFonts w:ascii="Arial" w:hAnsi="Arial" w:cs="Arial"/>
          <w:bCs/>
        </w:rPr>
      </w:pPr>
      <w:r w:rsidRPr="00875ECC">
        <w:rPr>
          <w:rFonts w:ascii="Arial" w:hAnsi="Arial" w:cs="Arial"/>
        </w:rPr>
        <w:t xml:space="preserve">Se revisaron las áreas de </w:t>
      </w:r>
      <w:r w:rsidR="00FE00E9" w:rsidRPr="00476B13">
        <w:rPr>
          <w:rFonts w:ascii="Arial" w:hAnsi="Arial" w:cs="Arial"/>
        </w:rPr>
        <w:t>Dirección Ge</w:t>
      </w:r>
      <w:r w:rsidR="00FE00E9" w:rsidRPr="005B135D">
        <w:rPr>
          <w:rFonts w:ascii="Arial" w:hAnsi="Arial" w:cs="Arial"/>
        </w:rPr>
        <w:t xml:space="preserve">neral, </w:t>
      </w:r>
      <w:r w:rsidRPr="005B135D">
        <w:rPr>
          <w:rFonts w:ascii="Arial" w:hAnsi="Arial" w:cs="Arial"/>
        </w:rPr>
        <w:t>Dirección Administrativa</w:t>
      </w:r>
      <w:r w:rsidR="00FE00E9" w:rsidRPr="005B135D">
        <w:rPr>
          <w:rFonts w:ascii="Arial" w:hAnsi="Arial" w:cs="Arial"/>
        </w:rPr>
        <w:t xml:space="preserve">, </w:t>
      </w:r>
      <w:r w:rsidR="00875ECC" w:rsidRPr="005B135D">
        <w:rPr>
          <w:rFonts w:ascii="Arial" w:hAnsi="Arial" w:cs="Arial"/>
        </w:rPr>
        <w:t xml:space="preserve">Coordinación Jurídica, </w:t>
      </w:r>
      <w:r w:rsidR="000C6E89" w:rsidRPr="005B135D">
        <w:rPr>
          <w:rFonts w:ascii="Arial" w:hAnsi="Arial" w:cs="Arial"/>
        </w:rPr>
        <w:t xml:space="preserve">Coordinación General de Proyectos, Coordinación General de Patrimonio, </w:t>
      </w:r>
      <w:r w:rsidR="00875ECC" w:rsidRPr="005B135D">
        <w:rPr>
          <w:rFonts w:ascii="Arial" w:hAnsi="Arial" w:cs="Arial"/>
        </w:rPr>
        <w:t>Direc</w:t>
      </w:r>
      <w:r w:rsidR="00476B13" w:rsidRPr="005B135D">
        <w:rPr>
          <w:rFonts w:ascii="Arial" w:hAnsi="Arial" w:cs="Arial"/>
        </w:rPr>
        <w:t>ción</w:t>
      </w:r>
      <w:r w:rsidR="00875ECC" w:rsidRPr="005B135D">
        <w:rPr>
          <w:rFonts w:ascii="Arial" w:hAnsi="Arial" w:cs="Arial"/>
        </w:rPr>
        <w:t xml:space="preserve"> de Control Territorial,</w:t>
      </w:r>
      <w:r w:rsidR="005B135D" w:rsidRPr="005B135D">
        <w:rPr>
          <w:rFonts w:ascii="Arial" w:hAnsi="Arial" w:cs="Arial"/>
        </w:rPr>
        <w:t xml:space="preserve"> Dirección de Factibilidad Normativa, Dirección de Proyectos, Dirección de Control Patrimonial,</w:t>
      </w:r>
      <w:r w:rsidR="00875ECC" w:rsidRPr="005B135D">
        <w:rPr>
          <w:rFonts w:ascii="Arial" w:hAnsi="Arial" w:cs="Arial"/>
        </w:rPr>
        <w:t xml:space="preserve"> </w:t>
      </w:r>
      <w:r w:rsidR="000C6E89" w:rsidRPr="005B135D">
        <w:rPr>
          <w:rFonts w:ascii="Arial" w:hAnsi="Arial" w:cs="Arial"/>
        </w:rPr>
        <w:t xml:space="preserve">Departamento de Finanzas, </w:t>
      </w:r>
      <w:r w:rsidR="00875ECC" w:rsidRPr="005B135D">
        <w:rPr>
          <w:rFonts w:ascii="Arial" w:hAnsi="Arial" w:cs="Arial"/>
        </w:rPr>
        <w:t xml:space="preserve">Departamento </w:t>
      </w:r>
      <w:r w:rsidR="005B135D" w:rsidRPr="005B135D">
        <w:rPr>
          <w:rFonts w:ascii="Arial" w:hAnsi="Arial" w:cs="Arial"/>
        </w:rPr>
        <w:t>de Contabilidad</w:t>
      </w:r>
      <w:r w:rsidR="00875ECC" w:rsidRPr="005B135D">
        <w:rPr>
          <w:rFonts w:ascii="Arial" w:hAnsi="Arial" w:cs="Arial"/>
        </w:rPr>
        <w:t xml:space="preserve">, </w:t>
      </w:r>
      <w:r w:rsidR="000C6E89" w:rsidRPr="005B135D">
        <w:rPr>
          <w:rFonts w:ascii="Arial" w:hAnsi="Arial" w:cs="Arial"/>
        </w:rPr>
        <w:t xml:space="preserve">Departamento de Recursos Humanos, </w:t>
      </w:r>
      <w:r w:rsidR="005B135D" w:rsidRPr="005B135D">
        <w:rPr>
          <w:rFonts w:ascii="Arial" w:hAnsi="Arial" w:cs="Arial"/>
        </w:rPr>
        <w:t xml:space="preserve">Departamento de Servicios Generales, </w:t>
      </w:r>
      <w:r w:rsidRPr="00875ECC">
        <w:rPr>
          <w:rFonts w:ascii="Arial" w:hAnsi="Arial" w:cs="Arial"/>
        </w:rPr>
        <w:t>de</w:t>
      </w:r>
      <w:r w:rsidR="004B5810" w:rsidRPr="00875ECC">
        <w:rPr>
          <w:rFonts w:ascii="Arial" w:hAnsi="Arial" w:cs="Arial"/>
        </w:rPr>
        <w:t xml:space="preserve"> </w:t>
      </w:r>
      <w:r w:rsidRPr="00875ECC">
        <w:rPr>
          <w:rFonts w:ascii="Arial" w:hAnsi="Arial" w:cs="Arial"/>
        </w:rPr>
        <w:t>l</w:t>
      </w:r>
      <w:r w:rsidR="004B5810" w:rsidRPr="00875ECC">
        <w:rPr>
          <w:rFonts w:ascii="Arial" w:hAnsi="Arial" w:cs="Arial"/>
        </w:rPr>
        <w:t>a</w:t>
      </w:r>
      <w:r w:rsidRPr="00875ECC">
        <w:rPr>
          <w:rFonts w:ascii="Arial" w:hAnsi="Arial" w:cs="Arial"/>
        </w:rPr>
        <w:t xml:space="preserve"> </w:t>
      </w:r>
      <w:r w:rsidR="00AB2875" w:rsidRPr="00875ECC">
        <w:rPr>
          <w:rFonts w:ascii="Arial" w:hAnsi="Arial" w:cs="Arial"/>
          <w:b/>
          <w:bCs/>
        </w:rPr>
        <w:t>Agencia de Proyectos Estratégicos del Estado de Quintana Roo</w:t>
      </w:r>
      <w:r w:rsidRPr="00875ECC">
        <w:rPr>
          <w:rFonts w:ascii="Arial" w:hAnsi="Arial" w:cs="Arial"/>
          <w:bCs/>
        </w:rPr>
        <w:t>.</w:t>
      </w:r>
    </w:p>
    <w:p w14:paraId="600C85A6" w14:textId="6D92713E" w:rsidR="00A623C4" w:rsidRDefault="00A623C4" w:rsidP="00B73486">
      <w:pPr>
        <w:spacing w:line="360" w:lineRule="auto"/>
        <w:ind w:right="141"/>
        <w:jc w:val="both"/>
        <w:rPr>
          <w:rFonts w:ascii="Arial" w:hAnsi="Arial" w:cs="Arial"/>
        </w:rPr>
      </w:pPr>
    </w:p>
    <w:p w14:paraId="5B701C4D" w14:textId="77777777" w:rsidR="00A623C4" w:rsidRDefault="00A623C4" w:rsidP="00B73486">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0F639A" w:rsidRDefault="00A623C4" w:rsidP="00B73486">
      <w:pPr>
        <w:spacing w:line="360" w:lineRule="auto"/>
        <w:ind w:right="141"/>
        <w:jc w:val="both"/>
        <w:rPr>
          <w:rFonts w:ascii="Arial" w:hAnsi="Arial" w:cs="Arial"/>
          <w:b/>
          <w:sz w:val="16"/>
          <w:szCs w:val="16"/>
        </w:rPr>
      </w:pPr>
    </w:p>
    <w:p w14:paraId="079F56E4" w14:textId="77777777" w:rsidR="00A623C4" w:rsidRPr="00C47B98" w:rsidRDefault="00A623C4" w:rsidP="00B73486">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6D519E9" w14:textId="77777777" w:rsidR="00A623C4" w:rsidRPr="000F639A" w:rsidRDefault="00A623C4" w:rsidP="00B73486">
      <w:pPr>
        <w:spacing w:line="360" w:lineRule="auto"/>
        <w:ind w:right="141"/>
        <w:jc w:val="both"/>
        <w:rPr>
          <w:rFonts w:ascii="Arial" w:hAnsi="Arial" w:cs="Arial"/>
          <w:bCs/>
        </w:rPr>
      </w:pPr>
    </w:p>
    <w:p w14:paraId="384FB226" w14:textId="57EFCF22" w:rsidR="00A623C4" w:rsidRDefault="00A623C4" w:rsidP="00B73486">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5EA3620" w14:textId="77777777" w:rsidR="00BF48EE" w:rsidRPr="000F639A" w:rsidRDefault="00BF48EE" w:rsidP="00B73486">
      <w:pPr>
        <w:spacing w:line="360" w:lineRule="auto"/>
        <w:ind w:right="141"/>
        <w:jc w:val="both"/>
        <w:rPr>
          <w:rFonts w:ascii="Arial" w:hAnsi="Arial" w:cs="Arial"/>
          <w:bCs/>
        </w:rPr>
      </w:pPr>
    </w:p>
    <w:p w14:paraId="0933B2A4" w14:textId="337105AF" w:rsidR="00A623C4" w:rsidRDefault="00A623C4" w:rsidP="00B73486">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1F3EC82" w14:textId="77777777" w:rsidR="00AF7185" w:rsidRPr="000F639A" w:rsidRDefault="00AF7185" w:rsidP="00B73486">
      <w:pPr>
        <w:spacing w:line="360" w:lineRule="auto"/>
        <w:ind w:right="141"/>
        <w:jc w:val="both"/>
        <w:rPr>
          <w:rFonts w:ascii="Arial" w:hAnsi="Arial" w:cs="Arial"/>
          <w:bCs/>
        </w:rPr>
      </w:pPr>
    </w:p>
    <w:p w14:paraId="2FAC1436" w14:textId="77777777" w:rsidR="00A623C4" w:rsidRDefault="00A623C4" w:rsidP="00B73486">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9026EB" w14:textId="77777777" w:rsidR="00A623C4" w:rsidRPr="000F639A" w:rsidRDefault="00A623C4" w:rsidP="00B73486">
      <w:pPr>
        <w:spacing w:line="360" w:lineRule="auto"/>
        <w:ind w:right="141"/>
        <w:jc w:val="both"/>
        <w:rPr>
          <w:rFonts w:ascii="Arial" w:hAnsi="Arial" w:cs="Arial"/>
          <w:bCs/>
          <w:sz w:val="16"/>
          <w:szCs w:val="16"/>
        </w:rPr>
      </w:pPr>
    </w:p>
    <w:p w14:paraId="733FBAAD" w14:textId="77777777" w:rsidR="00A77484" w:rsidRPr="00584878" w:rsidRDefault="00A77484" w:rsidP="00B73486">
      <w:pPr>
        <w:spacing w:line="360" w:lineRule="auto"/>
        <w:ind w:right="141"/>
        <w:jc w:val="both"/>
        <w:rPr>
          <w:rFonts w:ascii="Arial" w:hAnsi="Arial" w:cs="Arial"/>
          <w:bCs/>
        </w:rPr>
      </w:pPr>
      <w:r w:rsidRPr="00584878">
        <w:rPr>
          <w:rFonts w:ascii="Arial" w:hAnsi="Arial" w:cs="Arial"/>
          <w:bCs/>
        </w:rPr>
        <w:t>1. Verificar que los controles internos implementados permitieron la adecuada gestión administrativa para el desarrollo eficiente de las operaciones, la obtención de información confiable y oportuna.</w:t>
      </w:r>
    </w:p>
    <w:p w14:paraId="6EE97D79" w14:textId="77777777" w:rsidR="00A77484" w:rsidRPr="000F639A" w:rsidRDefault="00A77484" w:rsidP="00B73486">
      <w:pPr>
        <w:spacing w:line="360" w:lineRule="auto"/>
        <w:ind w:right="141"/>
        <w:jc w:val="both"/>
        <w:rPr>
          <w:rFonts w:ascii="Arial" w:hAnsi="Arial" w:cs="Arial"/>
          <w:bCs/>
          <w:sz w:val="20"/>
          <w:szCs w:val="20"/>
        </w:rPr>
      </w:pPr>
    </w:p>
    <w:p w14:paraId="0E7F8A43" w14:textId="18F75BAC" w:rsidR="00A77484" w:rsidRPr="00584878" w:rsidRDefault="00A77484" w:rsidP="00B73486">
      <w:pPr>
        <w:spacing w:line="360" w:lineRule="auto"/>
        <w:ind w:right="141"/>
        <w:jc w:val="both"/>
        <w:rPr>
          <w:rFonts w:ascii="Arial" w:hAnsi="Arial" w:cs="Arial"/>
          <w:bCs/>
          <w:iCs/>
        </w:rPr>
      </w:pPr>
      <w:r w:rsidRPr="00584878">
        <w:rPr>
          <w:rFonts w:ascii="Arial" w:hAnsi="Arial" w:cs="Arial"/>
          <w:bCs/>
          <w:iCs/>
        </w:rPr>
        <w:t>2. Confirmar que los registros contables y presup</w:t>
      </w:r>
      <w:r w:rsidR="0035010B">
        <w:rPr>
          <w:rFonts w:ascii="Arial" w:hAnsi="Arial" w:cs="Arial"/>
          <w:bCs/>
          <w:iCs/>
        </w:rPr>
        <w:t>uestales efectuados durante 2021</w:t>
      </w:r>
      <w:r w:rsidRPr="00584878">
        <w:rPr>
          <w:rFonts w:ascii="Arial" w:hAnsi="Arial" w:cs="Arial"/>
          <w:bCs/>
          <w:iCs/>
        </w:rPr>
        <w:t xml:space="preserve"> se efectuaron considerando el Plan de Cuentas autorizado y la Guía contabilizadora emitidos por el Consejo Nacional d</w:t>
      </w:r>
      <w:r>
        <w:rPr>
          <w:rFonts w:ascii="Arial" w:hAnsi="Arial" w:cs="Arial"/>
          <w:bCs/>
          <w:iCs/>
        </w:rPr>
        <w:t>e Armonización Contable (CONAC).</w:t>
      </w:r>
    </w:p>
    <w:p w14:paraId="4DE7F731" w14:textId="3EA77C05" w:rsidR="00A77484" w:rsidRPr="000F639A" w:rsidRDefault="00A77484" w:rsidP="00B73486">
      <w:pPr>
        <w:spacing w:line="360" w:lineRule="auto"/>
        <w:ind w:right="141"/>
        <w:jc w:val="both"/>
        <w:rPr>
          <w:rFonts w:ascii="Arial" w:hAnsi="Arial" w:cs="Arial"/>
          <w:bCs/>
          <w:sz w:val="20"/>
          <w:szCs w:val="20"/>
        </w:rPr>
      </w:pPr>
    </w:p>
    <w:p w14:paraId="3A4DB098" w14:textId="39968754" w:rsidR="00A77484" w:rsidRDefault="00A77484" w:rsidP="00B73486">
      <w:pPr>
        <w:spacing w:line="360" w:lineRule="auto"/>
        <w:ind w:right="141"/>
        <w:jc w:val="both"/>
        <w:rPr>
          <w:rFonts w:ascii="Arial" w:hAnsi="Arial" w:cs="Arial"/>
          <w:bCs/>
          <w:lang w:val="es-ES"/>
        </w:rPr>
      </w:pPr>
      <w:r>
        <w:rPr>
          <w:rFonts w:ascii="Arial" w:hAnsi="Arial" w:cs="Arial"/>
          <w:bCs/>
          <w:lang w:val="es-ES"/>
        </w:rPr>
        <w:t xml:space="preserve">3. </w:t>
      </w:r>
      <w:r w:rsidRPr="000078B9">
        <w:rPr>
          <w:rFonts w:ascii="Arial" w:hAnsi="Arial" w:cs="Arial"/>
          <w:bCs/>
          <w:lang w:val="es-ES"/>
        </w:rPr>
        <w:t xml:space="preserve">Constatar que </w:t>
      </w:r>
      <w:r>
        <w:rPr>
          <w:rFonts w:ascii="Arial" w:hAnsi="Arial" w:cs="Arial"/>
          <w:bCs/>
          <w:lang w:val="es-ES"/>
        </w:rPr>
        <w:t xml:space="preserve">la </w:t>
      </w:r>
      <w:r w:rsidRPr="00086721">
        <w:rPr>
          <w:rFonts w:ascii="Arial" w:hAnsi="Arial" w:cs="Arial"/>
          <w:bCs/>
          <w:lang w:val="es-ES"/>
        </w:rPr>
        <w:t>Agencia</w:t>
      </w:r>
      <w:r w:rsidR="00086721" w:rsidRPr="00086721">
        <w:rPr>
          <w:rFonts w:ascii="Arial" w:hAnsi="Arial" w:cs="Arial"/>
          <w:bCs/>
          <w:lang w:val="es-ES"/>
        </w:rPr>
        <w:t xml:space="preserve"> </w:t>
      </w:r>
      <w:r w:rsidR="00086721" w:rsidRPr="00086721">
        <w:rPr>
          <w:rFonts w:ascii="Arial" w:hAnsi="Arial" w:cs="Arial"/>
          <w:bCs/>
          <w:lang w:eastAsia="es-MX"/>
        </w:rPr>
        <w:t>de Proyectos Estratégicos de Quintana Roo</w:t>
      </w:r>
      <w:r w:rsidRPr="000078B9">
        <w:rPr>
          <w:rFonts w:ascii="Arial" w:hAnsi="Arial" w:cs="Arial"/>
          <w:bCs/>
          <w:lang w:val="es-ES"/>
        </w:rPr>
        <w:t xml:space="preserve"> haya registrado las etapas del presupuesto de egresos, las cuales deberán reflejar: el aprobado, modificado, comprometido, devengado, ejercido y pagado.</w:t>
      </w:r>
    </w:p>
    <w:p w14:paraId="4B3E1AD6" w14:textId="77777777" w:rsidR="00B73486" w:rsidRPr="000F639A" w:rsidRDefault="00B73486" w:rsidP="00B73486">
      <w:pPr>
        <w:spacing w:line="360" w:lineRule="auto"/>
        <w:ind w:right="141"/>
        <w:jc w:val="both"/>
        <w:rPr>
          <w:rFonts w:ascii="Arial" w:hAnsi="Arial" w:cs="Arial"/>
          <w:bCs/>
          <w:sz w:val="20"/>
          <w:szCs w:val="20"/>
        </w:rPr>
      </w:pPr>
    </w:p>
    <w:p w14:paraId="28E0A2DC" w14:textId="0461CD46" w:rsidR="00A77484" w:rsidRPr="00584878" w:rsidRDefault="0035010B" w:rsidP="00B73486">
      <w:pPr>
        <w:spacing w:line="360" w:lineRule="auto"/>
        <w:ind w:right="141"/>
        <w:jc w:val="both"/>
        <w:rPr>
          <w:rFonts w:ascii="Arial" w:hAnsi="Arial" w:cs="Arial"/>
          <w:bCs/>
          <w:iCs/>
        </w:rPr>
      </w:pPr>
      <w:r>
        <w:rPr>
          <w:rFonts w:ascii="Arial" w:hAnsi="Arial" w:cs="Arial"/>
          <w:bCs/>
          <w:iCs/>
        </w:rPr>
        <w:lastRenderedPageBreak/>
        <w:t>4</w:t>
      </w:r>
      <w:r w:rsidR="00A77484" w:rsidRPr="00584878">
        <w:rPr>
          <w:rFonts w:ascii="Arial" w:hAnsi="Arial" w:cs="Arial"/>
          <w:bCs/>
          <w:iCs/>
        </w:rPr>
        <w:t xml:space="preserve">. Constatar que las cifras reportadas en las nóminas de pago y en el Estado Analítico del Ejercicio del Presupuesto se correspondan; asimismo, que los pagos efectuados al personal se realizaron de conformidad con los montos autorizados en los tabuladores, y de acuerdo con la plantilla y plazas autorizadas. </w:t>
      </w:r>
    </w:p>
    <w:p w14:paraId="4CD4A1F2" w14:textId="77777777" w:rsidR="00A77484" w:rsidRPr="000F639A" w:rsidRDefault="00A77484" w:rsidP="00B73486">
      <w:pPr>
        <w:spacing w:line="360" w:lineRule="auto"/>
        <w:ind w:right="141"/>
        <w:jc w:val="both"/>
        <w:rPr>
          <w:rFonts w:ascii="Arial" w:hAnsi="Arial" w:cs="Arial"/>
          <w:bCs/>
          <w:sz w:val="20"/>
          <w:szCs w:val="20"/>
        </w:rPr>
      </w:pPr>
    </w:p>
    <w:p w14:paraId="3313304E" w14:textId="39716AD2" w:rsidR="00A77484" w:rsidRPr="00584878" w:rsidRDefault="0035010B" w:rsidP="00B73486">
      <w:pPr>
        <w:pStyle w:val="Prrafodelista"/>
        <w:spacing w:line="360" w:lineRule="auto"/>
        <w:ind w:left="0" w:right="141"/>
        <w:jc w:val="both"/>
        <w:rPr>
          <w:rFonts w:ascii="Arial" w:hAnsi="Arial" w:cs="Arial"/>
          <w:bCs/>
          <w:lang w:val="es-ES"/>
        </w:rPr>
      </w:pPr>
      <w:r>
        <w:rPr>
          <w:rFonts w:ascii="Arial" w:hAnsi="Arial" w:cs="Arial"/>
          <w:bCs/>
          <w:lang w:val="es-ES"/>
        </w:rPr>
        <w:t>5</w:t>
      </w:r>
      <w:r w:rsidR="00A77484" w:rsidRPr="00584878">
        <w:rPr>
          <w:rFonts w:ascii="Arial" w:hAnsi="Arial" w:cs="Arial"/>
          <w:bCs/>
          <w:lang w:val="es-ES"/>
        </w:rPr>
        <w:t xml:space="preserve">. </w:t>
      </w:r>
      <w:r w:rsidR="00A77484" w:rsidRPr="00584878">
        <w:rPr>
          <w:rFonts w:ascii="Arial" w:hAnsi="Arial" w:cs="Arial"/>
          <w:bCs/>
          <w:iCs/>
        </w:rPr>
        <w:t>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0230E3DA" w14:textId="77777777" w:rsidR="00A77484" w:rsidRPr="000F639A" w:rsidRDefault="00A77484" w:rsidP="00B73486">
      <w:pPr>
        <w:pStyle w:val="Prrafodelista"/>
        <w:spacing w:line="360" w:lineRule="auto"/>
        <w:ind w:left="0" w:right="141"/>
        <w:jc w:val="both"/>
        <w:rPr>
          <w:rFonts w:ascii="Arial" w:hAnsi="Arial" w:cs="Arial"/>
          <w:bCs/>
          <w:sz w:val="20"/>
          <w:szCs w:val="20"/>
          <w:lang w:val="es-ES"/>
        </w:rPr>
      </w:pPr>
    </w:p>
    <w:p w14:paraId="1CD7010F" w14:textId="4F936D33" w:rsidR="00A77484" w:rsidRPr="00584878" w:rsidRDefault="0035010B" w:rsidP="00B73486">
      <w:pPr>
        <w:spacing w:line="360" w:lineRule="auto"/>
        <w:ind w:right="141"/>
        <w:jc w:val="both"/>
        <w:rPr>
          <w:rFonts w:ascii="Arial" w:hAnsi="Arial" w:cs="Arial"/>
          <w:bCs/>
          <w:iCs/>
        </w:rPr>
      </w:pPr>
      <w:r>
        <w:rPr>
          <w:rFonts w:ascii="Arial" w:hAnsi="Arial" w:cs="Arial"/>
          <w:bCs/>
          <w:iCs/>
        </w:rPr>
        <w:t>6</w:t>
      </w:r>
      <w:r w:rsidR="00A77484" w:rsidRPr="00584878">
        <w:rPr>
          <w:rFonts w:ascii="Arial" w:hAnsi="Arial" w:cs="Arial"/>
          <w:bCs/>
          <w:iCs/>
        </w:rPr>
        <w:t xml:space="preserve">. Constatar que los contratos se formalizaron en los plazos establecidos, que fueron firmados por los funcionarios facultados para ello y que se elaboraron de acuerdo con los requisitos establecidos. </w:t>
      </w:r>
    </w:p>
    <w:p w14:paraId="7F506CC5" w14:textId="77777777" w:rsidR="00A77484" w:rsidRPr="000F639A" w:rsidRDefault="00A77484" w:rsidP="00B73486">
      <w:pPr>
        <w:spacing w:line="360" w:lineRule="auto"/>
        <w:ind w:right="141"/>
        <w:jc w:val="both"/>
        <w:rPr>
          <w:rFonts w:ascii="Arial" w:hAnsi="Arial" w:cs="Arial"/>
          <w:bCs/>
          <w:sz w:val="20"/>
          <w:szCs w:val="20"/>
        </w:rPr>
      </w:pPr>
    </w:p>
    <w:p w14:paraId="4B69B6FB" w14:textId="42DF02BA" w:rsidR="00A77484" w:rsidRPr="00584878" w:rsidRDefault="0035010B" w:rsidP="00B73486">
      <w:pPr>
        <w:tabs>
          <w:tab w:val="left" w:pos="9498"/>
        </w:tabs>
        <w:spacing w:line="360" w:lineRule="auto"/>
        <w:ind w:right="141"/>
        <w:jc w:val="both"/>
        <w:rPr>
          <w:rFonts w:ascii="Arial" w:hAnsi="Arial" w:cs="Arial"/>
          <w:bCs/>
          <w:lang w:val="es-ES"/>
        </w:rPr>
      </w:pPr>
      <w:r>
        <w:rPr>
          <w:rFonts w:ascii="Arial" w:hAnsi="Arial" w:cs="Arial"/>
          <w:bCs/>
          <w:lang w:val="es-ES"/>
        </w:rPr>
        <w:t>7</w:t>
      </w:r>
      <w:r w:rsidR="00A77484" w:rsidRPr="00584878">
        <w:rPr>
          <w:rFonts w:ascii="Arial" w:hAnsi="Arial" w:cs="Arial"/>
          <w:bCs/>
          <w:lang w:val="es-ES"/>
        </w:rPr>
        <w:t>. Comprobar que los egresos por gastos de materiales y suministros (capítulo 2000), servicios generales (capítulo 3000), se autorizaron, ejercieron, registraron y presentaron en los estados financieros y en la Cuenta Pública, así como que corresponden con los montos pactados y se encuentran justificados y comprobados, de conformidad con las disposiciones jurídicas aplicables.</w:t>
      </w:r>
    </w:p>
    <w:p w14:paraId="319D86F0" w14:textId="77777777" w:rsidR="00A77484" w:rsidRPr="000F639A" w:rsidRDefault="00A77484" w:rsidP="00B73486">
      <w:pPr>
        <w:pStyle w:val="Prrafodelista"/>
        <w:tabs>
          <w:tab w:val="left" w:pos="9498"/>
        </w:tabs>
        <w:spacing w:line="360" w:lineRule="auto"/>
        <w:ind w:right="141"/>
        <w:jc w:val="both"/>
        <w:rPr>
          <w:rFonts w:ascii="Arial" w:hAnsi="Arial" w:cs="Arial"/>
          <w:bCs/>
          <w:sz w:val="20"/>
          <w:szCs w:val="20"/>
          <w:lang w:val="es-ES"/>
        </w:rPr>
      </w:pPr>
    </w:p>
    <w:p w14:paraId="1A94EE9A" w14:textId="4506F612" w:rsidR="00A77484" w:rsidRPr="00584878" w:rsidRDefault="0035010B" w:rsidP="00B73486">
      <w:pPr>
        <w:tabs>
          <w:tab w:val="left" w:pos="9498"/>
        </w:tabs>
        <w:spacing w:line="360" w:lineRule="auto"/>
        <w:ind w:right="141"/>
        <w:jc w:val="both"/>
        <w:rPr>
          <w:rFonts w:ascii="Arial" w:hAnsi="Arial" w:cs="Arial"/>
          <w:bCs/>
        </w:rPr>
      </w:pPr>
      <w:r>
        <w:rPr>
          <w:rFonts w:ascii="Arial" w:hAnsi="Arial" w:cs="Arial"/>
          <w:bCs/>
        </w:rPr>
        <w:t>8</w:t>
      </w:r>
      <w:r w:rsidR="00A77484" w:rsidRPr="00584878">
        <w:rPr>
          <w:rFonts w:ascii="Arial" w:hAnsi="Arial" w:cs="Arial"/>
          <w:bCs/>
        </w:rPr>
        <w:t>. Confirmar, en el portal del Servicio de Administración Tributaria (SAT), que los comprobantes fiscales emitidos por los proveedores se encuentran vigentes.</w:t>
      </w:r>
    </w:p>
    <w:p w14:paraId="5E92504D" w14:textId="77777777" w:rsidR="00A77484" w:rsidRPr="000F639A" w:rsidRDefault="00A77484" w:rsidP="00B73486">
      <w:pPr>
        <w:pStyle w:val="Prrafodelista"/>
        <w:tabs>
          <w:tab w:val="left" w:pos="9498"/>
        </w:tabs>
        <w:spacing w:line="360" w:lineRule="auto"/>
        <w:ind w:right="141"/>
        <w:jc w:val="both"/>
        <w:rPr>
          <w:rFonts w:ascii="Arial" w:hAnsi="Arial" w:cs="Arial"/>
          <w:bCs/>
          <w:sz w:val="20"/>
          <w:szCs w:val="20"/>
        </w:rPr>
      </w:pPr>
    </w:p>
    <w:p w14:paraId="2E1F8951" w14:textId="24E456D6" w:rsidR="00A77484" w:rsidRPr="00584878" w:rsidRDefault="0035010B" w:rsidP="00B73486">
      <w:pPr>
        <w:spacing w:line="360" w:lineRule="auto"/>
        <w:ind w:right="141"/>
        <w:jc w:val="both"/>
        <w:rPr>
          <w:rFonts w:ascii="Arial" w:hAnsi="Arial" w:cs="Arial"/>
        </w:rPr>
      </w:pPr>
      <w:r>
        <w:rPr>
          <w:rFonts w:ascii="Arial" w:hAnsi="Arial" w:cs="Arial"/>
        </w:rPr>
        <w:t>9</w:t>
      </w:r>
      <w:r w:rsidR="00A77484" w:rsidRPr="00584878">
        <w:rPr>
          <w:rFonts w:ascii="Arial" w:hAnsi="Arial" w:cs="Arial"/>
        </w:rPr>
        <w:t>. Cotejar que las cifras reportadas en la Cuenta Pública del ejercicio fiscal 202</w:t>
      </w:r>
      <w:r>
        <w:rPr>
          <w:rFonts w:ascii="Arial" w:hAnsi="Arial" w:cs="Arial"/>
        </w:rPr>
        <w:t>1</w:t>
      </w:r>
      <w:r w:rsidR="00A77484" w:rsidRPr="00584878">
        <w:rPr>
          <w:rFonts w:ascii="Arial" w:hAnsi="Arial" w:cs="Arial"/>
        </w:rPr>
        <w:t xml:space="preserve"> se corresponden con las registradas por la entidad fiscalizada en su Estado </w:t>
      </w:r>
      <w:r w:rsidR="00B73486">
        <w:rPr>
          <w:rFonts w:ascii="Arial" w:hAnsi="Arial" w:cs="Arial"/>
        </w:rPr>
        <w:t xml:space="preserve">Analítico </w:t>
      </w:r>
      <w:r w:rsidR="00A77484" w:rsidRPr="00584878">
        <w:rPr>
          <w:rFonts w:ascii="Arial" w:hAnsi="Arial" w:cs="Arial"/>
        </w:rPr>
        <w:t xml:space="preserve">del Ejercicio del Presupuesto y que las modificaciones del presupuesto original se encuentran respaldadas en las adecuaciones presupuestarias de acuerdo con la normativa. </w:t>
      </w:r>
    </w:p>
    <w:p w14:paraId="0AE3BF1F" w14:textId="77777777" w:rsidR="00A77484" w:rsidRPr="00584878" w:rsidRDefault="00A77484" w:rsidP="00B73486">
      <w:pPr>
        <w:spacing w:line="360" w:lineRule="auto"/>
        <w:ind w:right="141"/>
        <w:jc w:val="both"/>
        <w:rPr>
          <w:rFonts w:ascii="Arial" w:hAnsi="Arial" w:cs="Arial"/>
          <w:sz w:val="20"/>
          <w:szCs w:val="20"/>
        </w:rPr>
      </w:pPr>
    </w:p>
    <w:p w14:paraId="5E27C1CE" w14:textId="72C0ED52" w:rsidR="00A77484" w:rsidRPr="00584878" w:rsidRDefault="00A77484" w:rsidP="00B73486">
      <w:pPr>
        <w:tabs>
          <w:tab w:val="left" w:pos="8222"/>
        </w:tabs>
        <w:spacing w:line="360" w:lineRule="auto"/>
        <w:ind w:right="141"/>
        <w:jc w:val="both"/>
        <w:rPr>
          <w:rFonts w:ascii="Arial" w:hAnsi="Arial" w:cs="Arial"/>
        </w:rPr>
      </w:pPr>
      <w:r w:rsidRPr="00584878">
        <w:rPr>
          <w:rFonts w:ascii="Arial" w:hAnsi="Arial" w:cs="Arial"/>
        </w:rPr>
        <w:lastRenderedPageBreak/>
        <w:t>1</w:t>
      </w:r>
      <w:r w:rsidR="0035010B">
        <w:rPr>
          <w:rFonts w:ascii="Arial" w:hAnsi="Arial" w:cs="Arial"/>
        </w:rPr>
        <w:t>0</w:t>
      </w:r>
      <w:r w:rsidRPr="00584878">
        <w:rPr>
          <w:rFonts w:ascii="Arial" w:hAnsi="Arial" w:cs="Arial"/>
        </w:rPr>
        <w:t>. Verificar que las adquisiciones por servicios y materiales y suministros se llevaron a cabo de conformidad con la Ley de Adquisiciones, Arrendamientos y Prestación de Servicios Relacionados con Bienes Muebles del Estado de Quintana Roo.</w:t>
      </w:r>
    </w:p>
    <w:p w14:paraId="3642E8DC" w14:textId="77777777" w:rsidR="00A77484" w:rsidRPr="00584878" w:rsidRDefault="00A77484" w:rsidP="00B73486">
      <w:pPr>
        <w:spacing w:line="360" w:lineRule="auto"/>
        <w:ind w:right="141"/>
        <w:jc w:val="both"/>
        <w:rPr>
          <w:rFonts w:ascii="Arial" w:hAnsi="Arial" w:cs="Arial"/>
          <w:bCs/>
          <w:sz w:val="22"/>
        </w:rPr>
      </w:pPr>
    </w:p>
    <w:p w14:paraId="3FEBFE6A" w14:textId="44FABF7E" w:rsidR="00A77484" w:rsidRPr="00584878" w:rsidRDefault="00A77484" w:rsidP="00B73486">
      <w:pPr>
        <w:spacing w:line="360" w:lineRule="auto"/>
        <w:ind w:right="141"/>
        <w:jc w:val="both"/>
        <w:rPr>
          <w:rFonts w:ascii="Arial" w:hAnsi="Arial" w:cs="Arial"/>
          <w:lang w:val="es-ES"/>
        </w:rPr>
      </w:pPr>
      <w:r w:rsidRPr="00584878">
        <w:rPr>
          <w:rFonts w:ascii="Arial" w:hAnsi="Arial" w:cs="Arial"/>
          <w:lang w:val="es-ES"/>
        </w:rPr>
        <w:t>1</w:t>
      </w:r>
      <w:r w:rsidR="0035010B">
        <w:rPr>
          <w:rFonts w:ascii="Arial" w:hAnsi="Arial" w:cs="Arial"/>
          <w:lang w:val="es-ES"/>
        </w:rPr>
        <w:t>1</w:t>
      </w:r>
      <w:r w:rsidRPr="00584878">
        <w:rPr>
          <w:rFonts w:ascii="Arial" w:hAnsi="Arial" w:cs="Arial"/>
          <w:lang w:val="es-ES"/>
        </w:rPr>
        <w:t>. Cotejar que los bienes adquir</w:t>
      </w:r>
      <w:r w:rsidR="00786A50">
        <w:rPr>
          <w:rFonts w:ascii="Arial" w:hAnsi="Arial" w:cs="Arial"/>
          <w:lang w:val="es-ES"/>
        </w:rPr>
        <w:t>idos en el ejercicio fiscal 202</w:t>
      </w:r>
      <w:r w:rsidR="005C5D7F">
        <w:rPr>
          <w:rFonts w:ascii="Arial" w:hAnsi="Arial" w:cs="Arial"/>
          <w:lang w:val="es-ES"/>
        </w:rPr>
        <w:t>1</w:t>
      </w:r>
      <w:r w:rsidRPr="00584878">
        <w:rPr>
          <w:rFonts w:ascii="Arial" w:hAnsi="Arial" w:cs="Arial"/>
          <w:lang w:val="es-ES"/>
        </w:rPr>
        <w:t xml:space="preserve"> estén reflejados en el Estado de Situación Financiera de</w:t>
      </w:r>
      <w:r>
        <w:rPr>
          <w:rFonts w:ascii="Arial" w:hAnsi="Arial" w:cs="Arial"/>
          <w:lang w:val="es-ES"/>
        </w:rPr>
        <w:t xml:space="preserve"> </w:t>
      </w:r>
      <w:r w:rsidRPr="00584878">
        <w:rPr>
          <w:rFonts w:ascii="Arial" w:hAnsi="Arial" w:cs="Arial"/>
          <w:lang w:val="es-ES"/>
        </w:rPr>
        <w:t>l</w:t>
      </w:r>
      <w:r>
        <w:rPr>
          <w:rFonts w:ascii="Arial" w:hAnsi="Arial" w:cs="Arial"/>
          <w:lang w:val="es-ES"/>
        </w:rPr>
        <w:t xml:space="preserve">a </w:t>
      </w:r>
      <w:r w:rsidRPr="00086721">
        <w:rPr>
          <w:rFonts w:ascii="Arial" w:hAnsi="Arial" w:cs="Arial"/>
          <w:lang w:val="es-ES"/>
        </w:rPr>
        <w:t>Agencia</w:t>
      </w:r>
      <w:r w:rsidR="00086721" w:rsidRPr="00086721">
        <w:rPr>
          <w:rFonts w:ascii="Arial" w:hAnsi="Arial" w:cs="Arial"/>
          <w:lang w:val="es-ES"/>
        </w:rPr>
        <w:t xml:space="preserve"> </w:t>
      </w:r>
      <w:r w:rsidR="00086721" w:rsidRPr="00086721">
        <w:rPr>
          <w:rFonts w:ascii="Arial" w:hAnsi="Arial" w:cs="Arial"/>
          <w:bCs/>
          <w:lang w:eastAsia="es-MX"/>
        </w:rPr>
        <w:t>de Proyectos Estratégicos de Quintana Roo</w:t>
      </w:r>
      <w:r w:rsidRPr="00086721">
        <w:rPr>
          <w:rFonts w:ascii="Arial" w:hAnsi="Arial" w:cs="Arial"/>
          <w:lang w:val="es-ES"/>
        </w:rPr>
        <w:t>.</w:t>
      </w:r>
    </w:p>
    <w:p w14:paraId="5B8BEEB7" w14:textId="77777777" w:rsidR="00A77484" w:rsidRPr="00584878" w:rsidRDefault="00A77484" w:rsidP="00B73486">
      <w:pPr>
        <w:spacing w:line="360" w:lineRule="auto"/>
        <w:ind w:right="141"/>
        <w:jc w:val="both"/>
        <w:rPr>
          <w:rFonts w:ascii="Arial" w:hAnsi="Arial" w:cs="Arial"/>
          <w:sz w:val="22"/>
          <w:szCs w:val="22"/>
          <w:lang w:val="es-ES"/>
        </w:rPr>
      </w:pPr>
    </w:p>
    <w:p w14:paraId="136FF111" w14:textId="77777777" w:rsidR="00A22FA8" w:rsidRDefault="00A77484" w:rsidP="00B73486">
      <w:pPr>
        <w:spacing w:line="360" w:lineRule="auto"/>
        <w:ind w:right="141"/>
        <w:jc w:val="both"/>
        <w:rPr>
          <w:rFonts w:ascii="Arial" w:hAnsi="Arial" w:cs="Arial"/>
          <w:lang w:val="es-ES"/>
        </w:rPr>
      </w:pPr>
      <w:r w:rsidRPr="00584878">
        <w:rPr>
          <w:rFonts w:ascii="Arial" w:hAnsi="Arial" w:cs="Arial"/>
          <w:lang w:val="es-ES"/>
        </w:rPr>
        <w:t>1</w:t>
      </w:r>
      <w:r w:rsidR="0035010B">
        <w:rPr>
          <w:rFonts w:ascii="Arial" w:hAnsi="Arial" w:cs="Arial"/>
          <w:lang w:val="es-ES"/>
        </w:rPr>
        <w:t>2</w:t>
      </w:r>
      <w:r w:rsidRPr="00584878">
        <w:rPr>
          <w:rFonts w:ascii="Arial" w:hAnsi="Arial" w:cs="Arial"/>
          <w:lang w:val="es-ES"/>
        </w:rPr>
        <w:t>. Comprobar que se esté actualizando adecuadamente y periódicamente el inventario</w:t>
      </w:r>
      <w:r w:rsidR="00A20399">
        <w:rPr>
          <w:rFonts w:ascii="Arial" w:hAnsi="Arial" w:cs="Arial"/>
          <w:lang w:val="es-ES"/>
        </w:rPr>
        <w:t xml:space="preserve"> de bienes muebles, </w:t>
      </w:r>
      <w:r w:rsidRPr="00584878">
        <w:rPr>
          <w:rFonts w:ascii="Arial" w:hAnsi="Arial" w:cs="Arial"/>
          <w:lang w:val="es-ES"/>
        </w:rPr>
        <w:t>inmuebles</w:t>
      </w:r>
      <w:r w:rsidR="00A20399">
        <w:rPr>
          <w:rFonts w:ascii="Arial" w:hAnsi="Arial" w:cs="Arial"/>
          <w:lang w:val="es-ES"/>
        </w:rPr>
        <w:t xml:space="preserve"> e intangibles</w:t>
      </w:r>
      <w:r w:rsidRPr="00584878">
        <w:rPr>
          <w:rFonts w:ascii="Arial" w:hAnsi="Arial" w:cs="Arial"/>
          <w:lang w:val="es-ES"/>
        </w:rPr>
        <w:t>.</w:t>
      </w:r>
    </w:p>
    <w:p w14:paraId="250C0F2A" w14:textId="77777777" w:rsidR="00A22FA8" w:rsidRDefault="00A22FA8" w:rsidP="00B73486">
      <w:pPr>
        <w:spacing w:line="360" w:lineRule="auto"/>
        <w:ind w:right="141"/>
        <w:jc w:val="both"/>
        <w:rPr>
          <w:rFonts w:ascii="Arial" w:hAnsi="Arial" w:cs="Arial"/>
          <w:lang w:val="es-ES"/>
        </w:rPr>
      </w:pPr>
    </w:p>
    <w:p w14:paraId="1B0D6C0D" w14:textId="1ECF4D81" w:rsidR="0035010B" w:rsidRPr="00584878" w:rsidRDefault="00A22FA8" w:rsidP="00B73486">
      <w:pPr>
        <w:spacing w:line="360" w:lineRule="auto"/>
        <w:ind w:right="141"/>
        <w:jc w:val="both"/>
        <w:rPr>
          <w:rFonts w:ascii="Arial" w:hAnsi="Arial" w:cs="Arial"/>
          <w:lang w:val="es-ES"/>
        </w:rPr>
      </w:pPr>
      <w:r>
        <w:rPr>
          <w:rFonts w:ascii="Arial" w:hAnsi="Arial" w:cs="Arial"/>
          <w:lang w:val="es-ES"/>
        </w:rPr>
        <w:t xml:space="preserve">13. </w:t>
      </w:r>
      <w:r w:rsidRPr="00A22FA8">
        <w:rPr>
          <w:rFonts w:ascii="Arial" w:hAnsi="Arial" w:cs="Arial"/>
          <w:lang w:val="es-ES"/>
        </w:rPr>
        <w:t xml:space="preserve">Efectuar prueba global de la depreciación del período y comparar los </w:t>
      </w:r>
      <w:r>
        <w:rPr>
          <w:rFonts w:ascii="Arial" w:hAnsi="Arial" w:cs="Arial"/>
          <w:lang w:val="es-ES"/>
        </w:rPr>
        <w:t xml:space="preserve">valores registrados contra los </w:t>
      </w:r>
      <w:r w:rsidRPr="00A22FA8">
        <w:rPr>
          <w:rFonts w:ascii="Arial" w:hAnsi="Arial" w:cs="Arial"/>
          <w:lang w:val="es-ES"/>
        </w:rPr>
        <w:t>cálculos de la auditoría, aclarando las diferencias result</w:t>
      </w:r>
      <w:r>
        <w:rPr>
          <w:rFonts w:ascii="Arial" w:hAnsi="Arial" w:cs="Arial"/>
          <w:lang w:val="es-ES"/>
        </w:rPr>
        <w:t>antes.</w:t>
      </w:r>
    </w:p>
    <w:p w14:paraId="1301AF48" w14:textId="77777777" w:rsidR="00A623C4" w:rsidRPr="000F639A" w:rsidRDefault="00A623C4" w:rsidP="00B73486">
      <w:pPr>
        <w:spacing w:line="360" w:lineRule="auto"/>
        <w:ind w:right="141"/>
        <w:jc w:val="both"/>
        <w:rPr>
          <w:rFonts w:ascii="Arial" w:hAnsi="Arial" w:cs="Arial"/>
          <w:bCs/>
          <w:sz w:val="20"/>
          <w:szCs w:val="20"/>
        </w:rPr>
      </w:pPr>
    </w:p>
    <w:p w14:paraId="2C9E130F" w14:textId="77777777" w:rsidR="00A623C4" w:rsidRPr="00C47B98" w:rsidRDefault="00A623C4" w:rsidP="00B73486">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74DDFEB" w14:textId="77777777" w:rsidR="00A623C4" w:rsidRDefault="00A623C4" w:rsidP="00B73486">
      <w:pPr>
        <w:spacing w:line="360" w:lineRule="auto"/>
        <w:ind w:right="141"/>
        <w:jc w:val="both"/>
        <w:rPr>
          <w:rFonts w:ascii="Arial" w:hAnsi="Arial" w:cs="Arial"/>
          <w:b/>
          <w:highlight w:val="darkYellow"/>
        </w:rPr>
      </w:pPr>
    </w:p>
    <w:p w14:paraId="1194206D" w14:textId="77777777" w:rsidR="00A623C4" w:rsidRPr="002E2A36" w:rsidRDefault="00A623C4" w:rsidP="00B73486">
      <w:pPr>
        <w:spacing w:line="360" w:lineRule="auto"/>
        <w:ind w:right="141"/>
        <w:jc w:val="both"/>
        <w:rPr>
          <w:rFonts w:ascii="Arial" w:hAnsi="Arial" w:cs="Arial"/>
          <w:b/>
        </w:rPr>
      </w:pPr>
      <w:r w:rsidRPr="0004250B">
        <w:rPr>
          <w:rFonts w:ascii="Arial" w:hAnsi="Arial" w:cs="Arial"/>
          <w:b/>
        </w:rPr>
        <w:t>G. Servidores Públicos que intervinieron en la Auditoría</w:t>
      </w:r>
    </w:p>
    <w:p w14:paraId="7AACB835" w14:textId="77777777" w:rsidR="00A623C4" w:rsidRPr="000F639A" w:rsidRDefault="00A623C4" w:rsidP="00B73486">
      <w:pPr>
        <w:spacing w:line="360" w:lineRule="auto"/>
        <w:ind w:right="141"/>
        <w:jc w:val="both"/>
        <w:rPr>
          <w:rFonts w:ascii="Arial" w:hAnsi="Arial" w:cs="Arial"/>
          <w:bCs/>
          <w:sz w:val="20"/>
          <w:szCs w:val="20"/>
        </w:rPr>
      </w:pPr>
    </w:p>
    <w:p w14:paraId="4F23B573" w14:textId="07BDAE19" w:rsidR="00A623C4" w:rsidRDefault="00A623C4" w:rsidP="00B73486">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444625" w:rsidRPr="00444625">
        <w:rPr>
          <w:rFonts w:ascii="Arial" w:hAnsi="Arial" w:cs="Arial"/>
          <w:bCs/>
        </w:rPr>
        <w:t>ASEQROO/ASE/AEMF/968/08/2022</w:t>
      </w:r>
      <w:r w:rsidRPr="004B5810">
        <w:rPr>
          <w:rFonts w:ascii="Arial" w:hAnsi="Arial" w:cs="Arial"/>
          <w:bCs/>
        </w:rPr>
        <w:t>,</w:t>
      </w:r>
      <w:r>
        <w:rPr>
          <w:rFonts w:ascii="Arial" w:hAnsi="Arial" w:cs="Arial"/>
          <w:bCs/>
        </w:rPr>
        <w:t xml:space="preserve"> </w:t>
      </w:r>
      <w:r w:rsidRPr="0004250B">
        <w:rPr>
          <w:rFonts w:ascii="Arial" w:hAnsi="Arial" w:cs="Arial"/>
          <w:bCs/>
        </w:rPr>
        <w:t>siendo los servidores públicos a cargo de coordinar y supervisar la auditoría, los siguientes:</w:t>
      </w:r>
    </w:p>
    <w:p w14:paraId="27F4E1B5" w14:textId="77777777" w:rsidR="00A623C4" w:rsidRPr="00D00F76" w:rsidRDefault="00A623C4" w:rsidP="00B73486">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23C4" w:rsidRPr="00845B1A" w14:paraId="19F93AC6" w14:textId="77777777" w:rsidTr="00024164">
        <w:trPr>
          <w:tblHeader/>
          <w:jc w:val="center"/>
        </w:trPr>
        <w:tc>
          <w:tcPr>
            <w:tcW w:w="6374" w:type="dxa"/>
            <w:shd w:val="clear" w:color="auto" w:fill="D0CECE" w:themeFill="background2" w:themeFillShade="E6"/>
          </w:tcPr>
          <w:p w14:paraId="7883A9ED" w14:textId="77777777" w:rsidR="00A623C4" w:rsidRPr="00845B1A" w:rsidRDefault="00A623C4" w:rsidP="00B73486">
            <w:pPr>
              <w:spacing w:line="360" w:lineRule="auto"/>
              <w:ind w:right="141"/>
              <w:jc w:val="center"/>
              <w:rPr>
                <w:rFonts w:ascii="Arial" w:hAnsi="Arial" w:cs="Arial"/>
                <w:b/>
                <w:bCs/>
              </w:rPr>
            </w:pPr>
            <w:r w:rsidRPr="00845B1A">
              <w:rPr>
                <w:rFonts w:ascii="Arial" w:hAnsi="Arial" w:cs="Arial"/>
                <w:b/>
                <w:bCs/>
              </w:rPr>
              <w:lastRenderedPageBreak/>
              <w:t>Nombre</w:t>
            </w:r>
          </w:p>
        </w:tc>
        <w:tc>
          <w:tcPr>
            <w:tcW w:w="2977" w:type="dxa"/>
            <w:shd w:val="clear" w:color="auto" w:fill="D0CECE" w:themeFill="background2" w:themeFillShade="E6"/>
          </w:tcPr>
          <w:p w14:paraId="6E1AECBF" w14:textId="77777777" w:rsidR="00A623C4" w:rsidRPr="00845B1A" w:rsidRDefault="00A623C4" w:rsidP="00B73486">
            <w:pPr>
              <w:spacing w:line="360" w:lineRule="auto"/>
              <w:ind w:right="141"/>
              <w:jc w:val="center"/>
              <w:rPr>
                <w:rFonts w:ascii="Arial" w:hAnsi="Arial" w:cs="Arial"/>
                <w:b/>
                <w:bCs/>
              </w:rPr>
            </w:pPr>
            <w:r w:rsidRPr="00845B1A">
              <w:rPr>
                <w:rFonts w:ascii="Arial" w:hAnsi="Arial" w:cs="Arial"/>
                <w:b/>
                <w:bCs/>
              </w:rPr>
              <w:t>Cargo</w:t>
            </w:r>
          </w:p>
        </w:tc>
      </w:tr>
      <w:tr w:rsidR="00A623C4" w:rsidRPr="00845B1A" w14:paraId="02C42EA2" w14:textId="77777777" w:rsidTr="00024164">
        <w:trPr>
          <w:jc w:val="center"/>
        </w:trPr>
        <w:tc>
          <w:tcPr>
            <w:tcW w:w="6374" w:type="dxa"/>
            <w:shd w:val="clear" w:color="auto" w:fill="auto"/>
          </w:tcPr>
          <w:p w14:paraId="09507A40" w14:textId="1F68CDF5" w:rsidR="00A623C4" w:rsidRPr="00845B1A" w:rsidRDefault="00440A06" w:rsidP="00B73486">
            <w:pPr>
              <w:spacing w:line="360" w:lineRule="auto"/>
              <w:ind w:right="141"/>
              <w:rPr>
                <w:rFonts w:ascii="Arial" w:hAnsi="Arial" w:cs="Arial"/>
                <w:bCs/>
              </w:rPr>
            </w:pPr>
            <w:r>
              <w:rPr>
                <w:rFonts w:ascii="Arial" w:hAnsi="Arial" w:cs="Arial"/>
                <w:bCs/>
              </w:rPr>
              <w:t xml:space="preserve">M. en </w:t>
            </w:r>
            <w:proofErr w:type="spellStart"/>
            <w:r>
              <w:rPr>
                <w:rFonts w:ascii="Arial" w:hAnsi="Arial" w:cs="Arial"/>
                <w:bCs/>
              </w:rPr>
              <w:t>Aud</w:t>
            </w:r>
            <w:proofErr w:type="spellEnd"/>
            <w:r w:rsidR="00A623C4">
              <w:rPr>
                <w:rFonts w:ascii="Arial" w:hAnsi="Arial" w:cs="Arial"/>
                <w:bCs/>
              </w:rPr>
              <w:t>. Adelaida Hernández Marcial</w:t>
            </w:r>
          </w:p>
        </w:tc>
        <w:tc>
          <w:tcPr>
            <w:tcW w:w="2977" w:type="dxa"/>
            <w:shd w:val="clear" w:color="auto" w:fill="auto"/>
          </w:tcPr>
          <w:p w14:paraId="6F6EA531" w14:textId="4D4B5AFB" w:rsidR="00A623C4" w:rsidRPr="00845B1A" w:rsidRDefault="00A623C4" w:rsidP="00B73486">
            <w:pPr>
              <w:spacing w:line="360" w:lineRule="auto"/>
              <w:ind w:right="141"/>
              <w:rPr>
                <w:rFonts w:ascii="Arial" w:hAnsi="Arial" w:cs="Arial"/>
                <w:bCs/>
              </w:rPr>
            </w:pPr>
            <w:r w:rsidRPr="00845B1A">
              <w:rPr>
                <w:rFonts w:ascii="Arial" w:hAnsi="Arial" w:cs="Arial"/>
                <w:bCs/>
              </w:rPr>
              <w:t>Coordinador</w:t>
            </w:r>
            <w:r w:rsidR="00440A06">
              <w:rPr>
                <w:rFonts w:ascii="Arial" w:hAnsi="Arial" w:cs="Arial"/>
                <w:bCs/>
              </w:rPr>
              <w:t>a</w:t>
            </w:r>
          </w:p>
        </w:tc>
      </w:tr>
      <w:tr w:rsidR="00A623C4" w:rsidRPr="00845B1A" w14:paraId="5A36AA23" w14:textId="77777777" w:rsidTr="00024164">
        <w:trPr>
          <w:jc w:val="center"/>
        </w:trPr>
        <w:tc>
          <w:tcPr>
            <w:tcW w:w="6374" w:type="dxa"/>
            <w:shd w:val="clear" w:color="auto" w:fill="auto"/>
          </w:tcPr>
          <w:p w14:paraId="3B3DAAA2" w14:textId="65EE07A4" w:rsidR="00A623C4" w:rsidRPr="00845B1A" w:rsidRDefault="00733F26" w:rsidP="00440A06">
            <w:pPr>
              <w:spacing w:line="360" w:lineRule="auto"/>
              <w:ind w:right="141"/>
              <w:rPr>
                <w:rFonts w:ascii="Arial" w:hAnsi="Arial" w:cs="Arial"/>
                <w:bCs/>
              </w:rPr>
            </w:pPr>
            <w:r>
              <w:rPr>
                <w:rFonts w:ascii="Arial" w:hAnsi="Arial" w:cs="Arial"/>
              </w:rPr>
              <w:t>L</w:t>
            </w:r>
            <w:r w:rsidR="005E4262">
              <w:rPr>
                <w:rFonts w:ascii="Arial" w:hAnsi="Arial" w:cs="Arial"/>
              </w:rPr>
              <w:t>.</w:t>
            </w:r>
            <w:r>
              <w:rPr>
                <w:rFonts w:ascii="Arial" w:hAnsi="Arial" w:cs="Arial"/>
              </w:rPr>
              <w:t>C</w:t>
            </w:r>
            <w:r w:rsidR="00B97B61">
              <w:rPr>
                <w:rFonts w:ascii="Arial" w:hAnsi="Arial" w:cs="Arial"/>
              </w:rPr>
              <w:t xml:space="preserve">. </w:t>
            </w:r>
            <w:r w:rsidR="00440A06">
              <w:rPr>
                <w:rFonts w:ascii="Arial" w:hAnsi="Arial" w:cs="Arial"/>
              </w:rPr>
              <w:t>María Victoria Ochoa Muñoz</w:t>
            </w:r>
          </w:p>
        </w:tc>
        <w:tc>
          <w:tcPr>
            <w:tcW w:w="2977" w:type="dxa"/>
            <w:shd w:val="clear" w:color="auto" w:fill="auto"/>
          </w:tcPr>
          <w:p w14:paraId="47C7E205" w14:textId="552F8924" w:rsidR="00A623C4" w:rsidRPr="00845B1A" w:rsidRDefault="00A623C4" w:rsidP="00B73486">
            <w:pPr>
              <w:spacing w:line="360" w:lineRule="auto"/>
              <w:ind w:right="141"/>
              <w:rPr>
                <w:rFonts w:ascii="Arial" w:hAnsi="Arial" w:cs="Arial"/>
                <w:bCs/>
              </w:rPr>
            </w:pPr>
            <w:r w:rsidRPr="00845B1A">
              <w:rPr>
                <w:rFonts w:ascii="Arial" w:hAnsi="Arial" w:cs="Arial"/>
                <w:bCs/>
              </w:rPr>
              <w:t>Supervisor</w:t>
            </w:r>
            <w:r w:rsidR="00440A06">
              <w:rPr>
                <w:rFonts w:ascii="Arial" w:hAnsi="Arial" w:cs="Arial"/>
                <w:bCs/>
              </w:rPr>
              <w:t>a</w:t>
            </w:r>
          </w:p>
        </w:tc>
      </w:tr>
    </w:tbl>
    <w:p w14:paraId="7E29F620" w14:textId="77777777" w:rsidR="00A623C4" w:rsidRDefault="00A623C4" w:rsidP="00B73486">
      <w:pPr>
        <w:spacing w:line="360" w:lineRule="auto"/>
        <w:ind w:right="141"/>
        <w:jc w:val="both"/>
        <w:rPr>
          <w:rFonts w:ascii="Arial" w:hAnsi="Arial" w:cs="Arial"/>
          <w:b/>
        </w:rPr>
      </w:pPr>
    </w:p>
    <w:p w14:paraId="26363448" w14:textId="0453232A" w:rsidR="00A623C4" w:rsidRPr="00845B1A" w:rsidRDefault="00DD5FFA" w:rsidP="00B73486">
      <w:pPr>
        <w:spacing w:line="360" w:lineRule="auto"/>
        <w:ind w:right="141"/>
        <w:jc w:val="both"/>
        <w:rPr>
          <w:rFonts w:ascii="Arial" w:hAnsi="Arial" w:cs="Arial"/>
          <w:b/>
        </w:rPr>
      </w:pPr>
      <w:r>
        <w:rPr>
          <w:rFonts w:ascii="Arial" w:hAnsi="Arial" w:cs="Arial"/>
          <w:b/>
        </w:rPr>
        <w:t>I</w:t>
      </w:r>
      <w:r w:rsidR="00A623C4" w:rsidRPr="00845B1A">
        <w:rPr>
          <w:rFonts w:ascii="Arial" w:hAnsi="Arial" w:cs="Arial"/>
          <w:b/>
        </w:rPr>
        <w:t>I.2. CUMPLIMIENTO DE DISPOSICIONES LEGALES Y NORMATIVAS</w:t>
      </w:r>
    </w:p>
    <w:p w14:paraId="08807ABD" w14:textId="77777777" w:rsidR="00A623C4" w:rsidRPr="000F639A" w:rsidRDefault="00A623C4" w:rsidP="00B73486">
      <w:pPr>
        <w:spacing w:line="360" w:lineRule="auto"/>
        <w:ind w:right="141"/>
        <w:jc w:val="both"/>
        <w:rPr>
          <w:rFonts w:ascii="Arial" w:hAnsi="Arial" w:cs="Arial"/>
          <w:sz w:val="20"/>
          <w:szCs w:val="20"/>
        </w:rPr>
      </w:pPr>
    </w:p>
    <w:p w14:paraId="1AB86072" w14:textId="291623AB" w:rsidR="00A623C4" w:rsidRDefault="00DD5FFA" w:rsidP="00B73486">
      <w:pPr>
        <w:spacing w:line="360" w:lineRule="auto"/>
        <w:ind w:right="141"/>
        <w:jc w:val="both"/>
        <w:rPr>
          <w:rFonts w:ascii="Arial" w:hAnsi="Arial" w:cs="Arial"/>
          <w:bCs/>
        </w:rPr>
      </w:pPr>
      <w:r w:rsidRPr="00DD5FFA">
        <w:rPr>
          <w:rFonts w:ascii="Arial" w:hAnsi="Arial" w:cs="Arial"/>
          <w:bCs/>
        </w:rPr>
        <w:t xml:space="preserve">La revisión se llevó a cabo aplicando Normas Profesionales de Auditoría del Sistema Nacional de Fiscalización, así como en apego a la Ley General de Contabilidad Gubernamental, Presupuesto de Egresos para el ejercicio fiscal </w:t>
      </w:r>
      <w:r>
        <w:rPr>
          <w:rFonts w:ascii="Arial" w:hAnsi="Arial" w:cs="Arial"/>
          <w:bCs/>
        </w:rPr>
        <w:t>202</w:t>
      </w:r>
      <w:r w:rsidR="005C69A9">
        <w:rPr>
          <w:rFonts w:ascii="Arial" w:hAnsi="Arial" w:cs="Arial"/>
          <w:bCs/>
        </w:rPr>
        <w:t>1</w:t>
      </w:r>
      <w:r w:rsidRPr="00DD5FFA">
        <w:rPr>
          <w:rFonts w:ascii="Arial" w:hAnsi="Arial" w:cs="Arial"/>
          <w:bCs/>
        </w:rPr>
        <w:t xml:space="preserve"> y lo emitido por el Consejo Nacional de Armonización Contable (CONAC), dando cumplimiento a las diversas disposiciones legales y normativas aplicables,</w:t>
      </w:r>
      <w:r w:rsidR="00CA2EBB">
        <w:rPr>
          <w:rFonts w:ascii="Arial" w:hAnsi="Arial" w:cs="Arial"/>
          <w:bCs/>
        </w:rPr>
        <w:t xml:space="preserve"> </w:t>
      </w:r>
      <w:r w:rsidR="00CA2EBB" w:rsidRPr="00CA2EBB">
        <w:rPr>
          <w:rFonts w:ascii="Arial" w:hAnsi="Arial" w:cs="Arial"/>
          <w:bCs/>
        </w:rPr>
        <w:t xml:space="preserve">en apego al artículo 38 fracción III de la Ley de Fiscalización y Rendición de Cuentas del Estado de Quintana Roo; </w:t>
      </w:r>
      <w:r w:rsidRPr="00DD5FFA">
        <w:rPr>
          <w:rFonts w:ascii="Arial" w:hAnsi="Arial" w:cs="Arial"/>
          <w:bC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E58A7B1" w14:textId="77777777" w:rsidR="00A623C4" w:rsidRDefault="00A623C4" w:rsidP="00B73486">
      <w:pPr>
        <w:spacing w:line="360" w:lineRule="auto"/>
        <w:ind w:right="141"/>
        <w:jc w:val="both"/>
        <w:rPr>
          <w:rFonts w:ascii="Arial" w:hAnsi="Arial" w:cs="Arial"/>
          <w:b/>
        </w:rPr>
      </w:pPr>
      <w:r w:rsidRPr="00845B1A">
        <w:rPr>
          <w:rFonts w:ascii="Arial" w:hAnsi="Arial" w:cs="Arial"/>
          <w:b/>
        </w:rPr>
        <w:t>A. Conclusiones</w:t>
      </w:r>
    </w:p>
    <w:p w14:paraId="1A260692" w14:textId="77777777" w:rsidR="00A623C4" w:rsidRPr="000F639A" w:rsidRDefault="00A623C4" w:rsidP="00B73486">
      <w:pPr>
        <w:spacing w:line="360" w:lineRule="auto"/>
        <w:ind w:right="141"/>
        <w:jc w:val="both"/>
        <w:rPr>
          <w:rFonts w:ascii="Arial" w:hAnsi="Arial" w:cs="Arial"/>
          <w:b/>
        </w:rPr>
      </w:pPr>
    </w:p>
    <w:p w14:paraId="3FD6DDA4" w14:textId="7E41597F" w:rsidR="00A623C4" w:rsidRDefault="00DD5FFA" w:rsidP="00B73486">
      <w:pPr>
        <w:spacing w:line="360" w:lineRule="auto"/>
        <w:ind w:right="141"/>
        <w:jc w:val="both"/>
        <w:rPr>
          <w:rFonts w:ascii="Arial" w:hAnsi="Arial" w:cs="Arial"/>
          <w:bCs/>
        </w:rPr>
      </w:pPr>
      <w:r w:rsidRPr="00DD5FFA">
        <w:rPr>
          <w:rFonts w:ascii="Arial" w:hAnsi="Arial" w:cs="Arial"/>
          <w:bCs/>
          <w:iCs/>
          <w:shd w:val="clear" w:color="auto" w:fill="FFFFFF" w:themeFill="background1"/>
        </w:rPr>
        <w:t xml:space="preserve">Se constató el cumplimiento de la Ley General de Contabilidad Gubernamental, Presupuesto de Egresos para el ejercicio fiscal </w:t>
      </w:r>
      <w:r>
        <w:rPr>
          <w:rFonts w:ascii="Arial" w:hAnsi="Arial" w:cs="Arial"/>
          <w:bCs/>
          <w:iCs/>
          <w:shd w:val="clear" w:color="auto" w:fill="FFFFFF" w:themeFill="background1"/>
        </w:rPr>
        <w:t>202</w:t>
      </w:r>
      <w:r w:rsidR="005C69A9">
        <w:rPr>
          <w:rFonts w:ascii="Arial" w:hAnsi="Arial" w:cs="Arial"/>
          <w:bCs/>
          <w:iCs/>
          <w:shd w:val="clear" w:color="auto" w:fill="FFFFFF" w:themeFill="background1"/>
        </w:rPr>
        <w:t>1</w:t>
      </w:r>
      <w:r w:rsidRPr="00DD5FFA">
        <w:rPr>
          <w:rFonts w:ascii="Arial" w:hAnsi="Arial" w:cs="Arial"/>
          <w:bCs/>
          <w:iCs/>
          <w:shd w:val="clear" w:color="auto" w:fill="FFFFFF" w:themeFill="background1"/>
        </w:rPr>
        <w:t>, así como de lo emitido por el Consejo Nacional de Armonización Contable (CONAC), y demás disposiciones legales y normativas aplicables</w:t>
      </w:r>
      <w:r w:rsidR="00AF7185">
        <w:rPr>
          <w:rFonts w:ascii="Arial" w:hAnsi="Arial" w:cs="Arial"/>
          <w:bCs/>
          <w:iCs/>
          <w:shd w:val="clear" w:color="auto" w:fill="FFFFFF" w:themeFill="background1"/>
        </w:rPr>
        <w:t>.</w:t>
      </w:r>
    </w:p>
    <w:p w14:paraId="21C0648B" w14:textId="77777777" w:rsidR="00900330" w:rsidRDefault="00900330" w:rsidP="00B73486">
      <w:pPr>
        <w:spacing w:line="360" w:lineRule="auto"/>
        <w:ind w:right="141"/>
        <w:jc w:val="both"/>
        <w:rPr>
          <w:rFonts w:ascii="Arial" w:hAnsi="Arial" w:cs="Arial"/>
          <w:bCs/>
          <w:iCs/>
          <w:shd w:val="clear" w:color="auto" w:fill="FFFFFF" w:themeFill="background1"/>
        </w:rPr>
      </w:pPr>
    </w:p>
    <w:p w14:paraId="271C76F0" w14:textId="445273E9" w:rsidR="00A623C4" w:rsidRPr="00A05588" w:rsidRDefault="00DD5FFA" w:rsidP="00B73486">
      <w:pPr>
        <w:spacing w:line="360" w:lineRule="auto"/>
        <w:ind w:right="141"/>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0F639A" w:rsidRDefault="00A623C4" w:rsidP="00B73486">
      <w:pPr>
        <w:spacing w:line="360" w:lineRule="auto"/>
        <w:ind w:right="141"/>
        <w:jc w:val="both"/>
        <w:rPr>
          <w:rFonts w:ascii="Arial" w:hAnsi="Arial" w:cs="Arial"/>
        </w:rPr>
      </w:pPr>
    </w:p>
    <w:p w14:paraId="78DCC409" w14:textId="7B4059CC" w:rsidR="00A623C4" w:rsidRPr="005604F7" w:rsidRDefault="00A623C4" w:rsidP="00B73486">
      <w:pPr>
        <w:tabs>
          <w:tab w:val="left" w:pos="2160"/>
        </w:tabs>
        <w:spacing w:line="360" w:lineRule="auto"/>
        <w:ind w:right="141"/>
        <w:jc w:val="both"/>
      </w:pPr>
      <w:r w:rsidRPr="000B7BD4">
        <w:rPr>
          <w:rFonts w:ascii="Arial" w:hAnsi="Arial" w:cs="Arial"/>
        </w:rPr>
        <w:t xml:space="preserve">De conformidad con </w:t>
      </w:r>
      <w:r w:rsidRPr="00406F79">
        <w:rPr>
          <w:rFonts w:ascii="Arial" w:hAnsi="Arial" w:cs="Arial"/>
        </w:rPr>
        <w:t>los artículos 17 fracciones I y II, 38</w:t>
      </w:r>
      <w:r w:rsidR="00CA2EBB">
        <w:rPr>
          <w:rFonts w:ascii="Arial" w:hAnsi="Arial" w:cs="Arial"/>
        </w:rPr>
        <w:t xml:space="preserve"> fracción IV</w:t>
      </w:r>
      <w:r w:rsidRPr="00406F79">
        <w:rPr>
          <w:rFonts w:ascii="Arial" w:hAnsi="Arial" w:cs="Arial"/>
        </w:rPr>
        <w:t xml:space="preserve">, 41 en su segundo párrafo, y 61 párrafo primero de la Ley de Fiscalización y Rendición de Cuentas del Estado de Quintana Roo, 4, 8 y 9 fracciones X, XI, XVIII y XXVI, del Reglamento Interior de la </w:t>
      </w:r>
      <w:r w:rsidRPr="00406F79">
        <w:rPr>
          <w:rFonts w:ascii="Arial" w:hAnsi="Arial" w:cs="Arial"/>
        </w:rPr>
        <w:lastRenderedPageBreak/>
        <w:t>Auditoría Superior del Estado de Quintana Roo</w:t>
      </w:r>
      <w:r w:rsidRPr="000B7BD4">
        <w:rPr>
          <w:rFonts w:ascii="Arial" w:hAnsi="Arial"/>
        </w:rPr>
        <w:t>,</w:t>
      </w:r>
      <w:r w:rsidRPr="000B7BD4">
        <w:rPr>
          <w:rFonts w:ascii="Arial" w:hAnsi="Arial" w:cs="Arial"/>
        </w:rPr>
        <w:t xml:space="preserve"> durante este proceso de fiscalización </w:t>
      </w:r>
      <w:r w:rsidRPr="00AE1ECD">
        <w:rPr>
          <w:rFonts w:ascii="Arial" w:hAnsi="Arial" w:cs="Arial"/>
        </w:rPr>
        <w:t xml:space="preserve">se </w:t>
      </w:r>
      <w:r w:rsidRPr="00AF7185">
        <w:rPr>
          <w:rFonts w:ascii="Arial" w:hAnsi="Arial" w:cs="Arial"/>
        </w:rPr>
        <w:t xml:space="preserve">presentaron </w:t>
      </w:r>
      <w:r w:rsidR="00AF7185" w:rsidRPr="00AF7185">
        <w:rPr>
          <w:rFonts w:ascii="Arial" w:hAnsi="Arial" w:cs="Arial"/>
          <w:b/>
        </w:rPr>
        <w:t>12</w:t>
      </w:r>
      <w:r w:rsidRPr="00AF7185">
        <w:rPr>
          <w:rFonts w:ascii="Arial" w:hAnsi="Arial" w:cs="Arial"/>
        </w:rPr>
        <w:t xml:space="preserve"> resultados finales de auditoría y se determinaron </w:t>
      </w:r>
      <w:r w:rsidR="00042158" w:rsidRPr="00AF7185">
        <w:rPr>
          <w:rFonts w:ascii="Arial" w:hAnsi="Arial" w:cs="Arial"/>
          <w:b/>
        </w:rPr>
        <w:t>15</w:t>
      </w:r>
      <w:r w:rsidRPr="00AF7185">
        <w:rPr>
          <w:rFonts w:ascii="Arial" w:hAnsi="Arial" w:cs="Arial"/>
        </w:rPr>
        <w:t xml:space="preserve"> observaciones, de las </w:t>
      </w:r>
      <w:r w:rsidRPr="00AA1A09">
        <w:rPr>
          <w:rFonts w:ascii="Arial" w:hAnsi="Arial" w:cs="Arial"/>
        </w:rPr>
        <w:t xml:space="preserve">cuales </w:t>
      </w:r>
      <w:r w:rsidR="00AA1A09" w:rsidRPr="00AA1A09">
        <w:rPr>
          <w:rFonts w:ascii="Arial" w:hAnsi="Arial" w:cs="Arial"/>
        </w:rPr>
        <w:t>todas fueron solventadas, sin embargo como medida de fortalecimiento para el control interno de la Agencia se emiten</w:t>
      </w:r>
      <w:r w:rsidR="00B97B61">
        <w:rPr>
          <w:rFonts w:ascii="Arial" w:hAnsi="Arial" w:cs="Arial"/>
        </w:rPr>
        <w:t xml:space="preserve"> </w:t>
      </w:r>
      <w:r w:rsidR="00B97B61" w:rsidRPr="00B97B61">
        <w:rPr>
          <w:rFonts w:ascii="Arial" w:hAnsi="Arial" w:cs="Arial"/>
          <w:b/>
        </w:rPr>
        <w:t>4</w:t>
      </w:r>
      <w:r w:rsidRPr="00AA1A09">
        <w:rPr>
          <w:rFonts w:ascii="Arial" w:hAnsi="Arial" w:cs="Arial"/>
        </w:rPr>
        <w:t xml:space="preserve"> Recomendaciones.</w:t>
      </w:r>
      <w:r w:rsidR="00245968" w:rsidRPr="00245968">
        <w:rPr>
          <w:rFonts w:ascii="Arial" w:hAnsi="Arial" w:cs="Arial"/>
        </w:rPr>
        <w:t xml:space="preserve"> </w:t>
      </w:r>
    </w:p>
    <w:p w14:paraId="48599557" w14:textId="77777777" w:rsidR="00A623C4" w:rsidRPr="000F639A" w:rsidRDefault="00A623C4" w:rsidP="00B73486">
      <w:pPr>
        <w:spacing w:line="360" w:lineRule="auto"/>
        <w:ind w:right="141"/>
        <w:jc w:val="both"/>
        <w:rPr>
          <w:rFonts w:ascii="Arial" w:hAnsi="Arial" w:cs="Arial"/>
        </w:rPr>
      </w:pPr>
    </w:p>
    <w:p w14:paraId="2FC2FF0D" w14:textId="28757413" w:rsidR="00A623C4" w:rsidRDefault="00A623C4" w:rsidP="00B73486">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3CF2C19D" w14:textId="77777777" w:rsidR="0045698B" w:rsidRPr="000F639A" w:rsidRDefault="0045698B" w:rsidP="00B73486">
      <w:pPr>
        <w:spacing w:line="360" w:lineRule="auto"/>
        <w:ind w:right="141"/>
        <w:jc w:val="both"/>
        <w:rPr>
          <w:rFonts w:ascii="Arial" w:hAnsi="Arial" w:cs="Arial"/>
          <w:b/>
        </w:rPr>
      </w:pPr>
    </w:p>
    <w:p w14:paraId="577B6C41" w14:textId="458C3F7F" w:rsidR="00A623C4" w:rsidRDefault="00CA2EBB" w:rsidP="00B73486">
      <w:pPr>
        <w:spacing w:line="360" w:lineRule="auto"/>
        <w:ind w:right="141"/>
        <w:jc w:val="both"/>
        <w:rPr>
          <w:rFonts w:ascii="Arial" w:hAnsi="Arial" w:cs="Arial"/>
        </w:rPr>
      </w:pPr>
      <w:r w:rsidRPr="00CA2EBB">
        <w:rPr>
          <w:rFonts w:ascii="Arial" w:hAnsi="Arial" w:cs="Arial"/>
        </w:rPr>
        <w:t xml:space="preserve">En cumplimiento al artículo 38 fracción V de la Ley de Fiscalización y Rendición de Cuentas del Estado de Quintana Roo, y </w:t>
      </w:r>
      <w:r>
        <w:rPr>
          <w:rFonts w:ascii="Arial" w:hAnsi="Arial" w:cs="Arial"/>
        </w:rPr>
        <w:t>d</w:t>
      </w:r>
      <w:r w:rsidR="00A623C4">
        <w:rPr>
          <w:rFonts w:ascii="Arial" w:hAnsi="Arial" w:cs="Arial"/>
        </w:rPr>
        <w:t>erivado del proceso de fiscalización al ente auditado se determinaron resultados finales de auditoría y observaciones en materia financiera, los cuales derivaron en la emisión recomendaciones, las cuales se presentan en la tabla siguiente:</w:t>
      </w:r>
    </w:p>
    <w:p w14:paraId="34F4D33B" w14:textId="63BC0CC6" w:rsidR="00A623C4" w:rsidRDefault="00A623C4" w:rsidP="00B73486">
      <w:pPr>
        <w:spacing w:line="360" w:lineRule="auto"/>
        <w:ind w:right="141"/>
        <w:jc w:val="both"/>
        <w:rPr>
          <w:rFonts w:ascii="Arial" w:hAnsi="Arial" w:cs="Arial"/>
          <w:b/>
          <w:bCs/>
          <w:sz w:val="16"/>
          <w:szCs w:val="16"/>
        </w:rPr>
      </w:pPr>
    </w:p>
    <w:tbl>
      <w:tblPr>
        <w:tblStyle w:val="Tablaconcuadrcula"/>
        <w:tblW w:w="500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2977"/>
        <w:gridCol w:w="2835"/>
        <w:gridCol w:w="1985"/>
      </w:tblGrid>
      <w:tr w:rsidR="00900330" w:rsidRPr="00AA1A09" w14:paraId="7C225E83" w14:textId="79611C6D" w:rsidTr="00AA1A09">
        <w:trPr>
          <w:tblHeader/>
          <w:jc w:val="center"/>
        </w:trPr>
        <w:tc>
          <w:tcPr>
            <w:tcW w:w="954" w:type="pct"/>
            <w:shd w:val="clear" w:color="auto" w:fill="D0CECE" w:themeFill="background2" w:themeFillShade="E6"/>
            <w:vAlign w:val="center"/>
          </w:tcPr>
          <w:p w14:paraId="2570357F" w14:textId="77777777" w:rsidR="00900330" w:rsidRPr="00AA1A09" w:rsidRDefault="00900330" w:rsidP="00E207D9">
            <w:pPr>
              <w:spacing w:line="276" w:lineRule="auto"/>
              <w:jc w:val="center"/>
              <w:rPr>
                <w:rFonts w:ascii="Arial" w:hAnsi="Arial" w:cs="Arial"/>
                <w:b/>
                <w:sz w:val="20"/>
                <w:szCs w:val="20"/>
              </w:rPr>
            </w:pPr>
            <w:r w:rsidRPr="00AA1A09">
              <w:rPr>
                <w:rFonts w:ascii="Arial" w:hAnsi="Arial" w:cs="Arial"/>
                <w:b/>
                <w:sz w:val="20"/>
                <w:szCs w:val="20"/>
              </w:rPr>
              <w:t>Referencia</w:t>
            </w:r>
          </w:p>
        </w:tc>
        <w:tc>
          <w:tcPr>
            <w:tcW w:w="1545" w:type="pct"/>
            <w:shd w:val="clear" w:color="auto" w:fill="D0CECE" w:themeFill="background2" w:themeFillShade="E6"/>
            <w:vAlign w:val="center"/>
          </w:tcPr>
          <w:p w14:paraId="5CC115B6" w14:textId="77777777" w:rsidR="00900330" w:rsidRPr="00AA1A09" w:rsidRDefault="00900330" w:rsidP="00E207D9">
            <w:pPr>
              <w:spacing w:line="276" w:lineRule="auto"/>
              <w:jc w:val="center"/>
              <w:rPr>
                <w:rFonts w:ascii="Arial" w:hAnsi="Arial" w:cs="Arial"/>
                <w:b/>
                <w:sz w:val="20"/>
                <w:szCs w:val="20"/>
              </w:rPr>
            </w:pPr>
            <w:r w:rsidRPr="00AA1A09">
              <w:rPr>
                <w:rFonts w:ascii="Arial" w:hAnsi="Arial" w:cs="Arial"/>
                <w:b/>
                <w:sz w:val="20"/>
                <w:szCs w:val="20"/>
              </w:rPr>
              <w:t>Concepto del Resultado</w:t>
            </w:r>
          </w:p>
        </w:tc>
        <w:tc>
          <w:tcPr>
            <w:tcW w:w="1471" w:type="pct"/>
            <w:shd w:val="clear" w:color="auto" w:fill="D0CECE" w:themeFill="background2" w:themeFillShade="E6"/>
            <w:vAlign w:val="center"/>
          </w:tcPr>
          <w:p w14:paraId="766AD961" w14:textId="77777777" w:rsidR="00900330" w:rsidRPr="00AA1A09" w:rsidRDefault="00900330" w:rsidP="00E207D9">
            <w:pPr>
              <w:spacing w:line="276" w:lineRule="auto"/>
              <w:jc w:val="center"/>
              <w:rPr>
                <w:rFonts w:ascii="Arial" w:hAnsi="Arial" w:cs="Arial"/>
                <w:b/>
                <w:sz w:val="20"/>
                <w:szCs w:val="20"/>
              </w:rPr>
            </w:pPr>
            <w:r w:rsidRPr="00AA1A09">
              <w:rPr>
                <w:rFonts w:ascii="Arial" w:hAnsi="Arial" w:cs="Arial"/>
                <w:b/>
                <w:sz w:val="20"/>
                <w:szCs w:val="20"/>
              </w:rPr>
              <w:t>Tipo de Observación</w:t>
            </w:r>
          </w:p>
        </w:tc>
        <w:tc>
          <w:tcPr>
            <w:tcW w:w="1030" w:type="pct"/>
            <w:shd w:val="clear" w:color="auto" w:fill="D0CECE" w:themeFill="background2" w:themeFillShade="E6"/>
          </w:tcPr>
          <w:p w14:paraId="32A17249" w14:textId="77777777" w:rsidR="00900330" w:rsidRPr="00AA1A09" w:rsidRDefault="00900330" w:rsidP="00900330">
            <w:pPr>
              <w:spacing w:line="276" w:lineRule="auto"/>
              <w:ind w:right="141"/>
              <w:jc w:val="center"/>
              <w:rPr>
                <w:rFonts w:ascii="Arial" w:hAnsi="Arial" w:cs="Arial"/>
                <w:b/>
                <w:bCs/>
                <w:sz w:val="20"/>
                <w:szCs w:val="20"/>
              </w:rPr>
            </w:pPr>
            <w:r w:rsidRPr="00AA1A09">
              <w:rPr>
                <w:rFonts w:ascii="Arial" w:hAnsi="Arial" w:cs="Arial"/>
                <w:b/>
                <w:bCs/>
                <w:sz w:val="20"/>
                <w:szCs w:val="20"/>
              </w:rPr>
              <w:t>Monto Observado/</w:t>
            </w:r>
          </w:p>
          <w:p w14:paraId="1D8C791C" w14:textId="76AA1C4E" w:rsidR="00900330" w:rsidRPr="00AA1A09" w:rsidRDefault="00900330" w:rsidP="00900330">
            <w:pPr>
              <w:spacing w:line="276" w:lineRule="auto"/>
              <w:jc w:val="center"/>
              <w:rPr>
                <w:rFonts w:ascii="Arial" w:hAnsi="Arial" w:cs="Arial"/>
                <w:b/>
                <w:sz w:val="20"/>
                <w:szCs w:val="20"/>
              </w:rPr>
            </w:pPr>
            <w:r w:rsidRPr="00AA1A09">
              <w:rPr>
                <w:rFonts w:ascii="Arial" w:hAnsi="Arial" w:cs="Arial"/>
                <w:b/>
                <w:bCs/>
                <w:sz w:val="20"/>
                <w:szCs w:val="20"/>
              </w:rPr>
              <w:t>Acciones y Recomendaciones Emitidas</w:t>
            </w:r>
          </w:p>
        </w:tc>
      </w:tr>
      <w:tr w:rsidR="00900330" w:rsidRPr="00AA1A09" w14:paraId="3408F2BA" w14:textId="310EF639" w:rsidTr="00AA1A09">
        <w:trPr>
          <w:trHeight w:val="656"/>
          <w:jc w:val="center"/>
        </w:trPr>
        <w:tc>
          <w:tcPr>
            <w:tcW w:w="954" w:type="pct"/>
          </w:tcPr>
          <w:p w14:paraId="4D90C698"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Resultado: 1</w:t>
            </w:r>
          </w:p>
          <w:p w14:paraId="461F8A90"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Observación: 1</w:t>
            </w:r>
          </w:p>
        </w:tc>
        <w:tc>
          <w:tcPr>
            <w:tcW w:w="1545" w:type="pct"/>
          </w:tcPr>
          <w:p w14:paraId="43138BE1"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Facturas canceladas registradas contablemente</w:t>
            </w:r>
          </w:p>
        </w:tc>
        <w:tc>
          <w:tcPr>
            <w:tcW w:w="1471" w:type="pct"/>
          </w:tcPr>
          <w:p w14:paraId="5FEA2136" w14:textId="77777777" w:rsidR="00900330" w:rsidRPr="00AA1A09" w:rsidRDefault="00900330" w:rsidP="00E207D9">
            <w:pPr>
              <w:spacing w:line="276" w:lineRule="auto"/>
              <w:jc w:val="both"/>
              <w:rPr>
                <w:rFonts w:ascii="Arial" w:hAnsi="Arial" w:cs="Arial"/>
                <w:sz w:val="20"/>
                <w:szCs w:val="20"/>
              </w:rPr>
            </w:pPr>
            <w:r w:rsidRPr="00AA1A09">
              <w:rPr>
                <w:rFonts w:ascii="Arial" w:eastAsiaTheme="minorHAnsi" w:hAnsi="Arial" w:cs="Arial"/>
                <w:sz w:val="20"/>
                <w:szCs w:val="20"/>
              </w:rPr>
              <w:t>(1B) Falta de documentación comprobatoria de las erogaciones o que no reúnen requisitos fiscales</w:t>
            </w:r>
          </w:p>
        </w:tc>
        <w:tc>
          <w:tcPr>
            <w:tcW w:w="1030" w:type="pct"/>
          </w:tcPr>
          <w:p w14:paraId="299B0545" w14:textId="77777777" w:rsidR="00900330" w:rsidRPr="00AA1A09" w:rsidRDefault="00946E6F" w:rsidP="00946E6F">
            <w:pPr>
              <w:spacing w:line="276" w:lineRule="auto"/>
              <w:jc w:val="right"/>
              <w:rPr>
                <w:rFonts w:ascii="Arial" w:eastAsiaTheme="minorHAnsi" w:hAnsi="Arial" w:cs="Arial"/>
                <w:sz w:val="20"/>
                <w:szCs w:val="20"/>
              </w:rPr>
            </w:pPr>
            <w:r w:rsidRPr="00AA1A09">
              <w:rPr>
                <w:rFonts w:ascii="Arial" w:eastAsiaTheme="minorHAnsi" w:hAnsi="Arial" w:cs="Arial"/>
                <w:sz w:val="20"/>
                <w:szCs w:val="20"/>
              </w:rPr>
              <w:t>$164,894.99</w:t>
            </w:r>
          </w:p>
          <w:p w14:paraId="2608B463" w14:textId="4DF5AA4B" w:rsidR="00833E34" w:rsidRPr="00AA1A09" w:rsidRDefault="00833E34" w:rsidP="00833E34">
            <w:pPr>
              <w:spacing w:line="276" w:lineRule="auto"/>
              <w:jc w:val="right"/>
              <w:rPr>
                <w:rFonts w:ascii="Arial" w:eastAsiaTheme="minorHAnsi" w:hAnsi="Arial" w:cs="Arial"/>
                <w:sz w:val="20"/>
                <w:szCs w:val="20"/>
              </w:rPr>
            </w:pPr>
            <w:r w:rsidRPr="00AA1A09">
              <w:rPr>
                <w:rFonts w:ascii="Arial" w:eastAsiaTheme="minorHAnsi" w:hAnsi="Arial" w:cs="Arial"/>
                <w:sz w:val="20"/>
                <w:szCs w:val="20"/>
              </w:rPr>
              <w:t>Solventado</w:t>
            </w:r>
          </w:p>
        </w:tc>
      </w:tr>
      <w:tr w:rsidR="00900330" w:rsidRPr="00AA1A09" w14:paraId="000988FE" w14:textId="36FCFEFA" w:rsidTr="00AA1A09">
        <w:trPr>
          <w:jc w:val="center"/>
        </w:trPr>
        <w:tc>
          <w:tcPr>
            <w:tcW w:w="954" w:type="pct"/>
          </w:tcPr>
          <w:p w14:paraId="5654A8CE"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Resultado: 2</w:t>
            </w:r>
          </w:p>
          <w:p w14:paraId="08DCBB82"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Observación: 2</w:t>
            </w:r>
          </w:p>
        </w:tc>
        <w:tc>
          <w:tcPr>
            <w:tcW w:w="1545" w:type="pct"/>
          </w:tcPr>
          <w:p w14:paraId="17122772"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Insuficiencia en las especificaciones de los comprobantes fiscales por servicios notariales</w:t>
            </w:r>
          </w:p>
        </w:tc>
        <w:tc>
          <w:tcPr>
            <w:tcW w:w="1471" w:type="pct"/>
          </w:tcPr>
          <w:p w14:paraId="2E800340" w14:textId="77777777" w:rsidR="00900330" w:rsidRPr="00AA1A09" w:rsidRDefault="00900330" w:rsidP="00E207D9">
            <w:pPr>
              <w:tabs>
                <w:tab w:val="left" w:pos="240"/>
                <w:tab w:val="center" w:pos="1403"/>
              </w:tabs>
              <w:spacing w:line="276" w:lineRule="auto"/>
              <w:jc w:val="both"/>
              <w:rPr>
                <w:rFonts w:ascii="Arial" w:hAnsi="Arial" w:cs="Arial"/>
                <w:sz w:val="20"/>
                <w:szCs w:val="20"/>
              </w:rPr>
            </w:pPr>
            <w:r w:rsidRPr="00AA1A09">
              <w:rPr>
                <w:rFonts w:ascii="Arial" w:eastAsiaTheme="minorHAnsi" w:hAnsi="Arial" w:cs="Arial"/>
                <w:sz w:val="20"/>
                <w:szCs w:val="20"/>
              </w:rPr>
              <w:t>4C) Omisiones o inconsistencias en la presentación de información financiera</w:t>
            </w:r>
          </w:p>
        </w:tc>
        <w:tc>
          <w:tcPr>
            <w:tcW w:w="1030" w:type="pct"/>
          </w:tcPr>
          <w:p w14:paraId="22CE7B76" w14:textId="4B580BAD" w:rsidR="00900330" w:rsidRPr="00AA1A09" w:rsidRDefault="00833E34" w:rsidP="00946E6F">
            <w:pPr>
              <w:tabs>
                <w:tab w:val="left" w:pos="240"/>
                <w:tab w:val="center" w:pos="1403"/>
              </w:tabs>
              <w:spacing w:line="276" w:lineRule="auto"/>
              <w:jc w:val="right"/>
              <w:rPr>
                <w:rFonts w:ascii="Arial" w:eastAsiaTheme="minorHAnsi" w:hAnsi="Arial" w:cs="Arial"/>
                <w:sz w:val="20"/>
                <w:szCs w:val="20"/>
              </w:rPr>
            </w:pPr>
            <w:r w:rsidRPr="00AA1A09">
              <w:rPr>
                <w:rFonts w:ascii="Arial" w:eastAsiaTheme="minorHAnsi" w:hAnsi="Arial" w:cs="Arial"/>
                <w:sz w:val="20"/>
                <w:szCs w:val="20"/>
              </w:rPr>
              <w:t>Solventado</w:t>
            </w:r>
          </w:p>
        </w:tc>
      </w:tr>
      <w:tr w:rsidR="00900330" w:rsidRPr="00AA1A09" w14:paraId="232DDBBB" w14:textId="66633202" w:rsidTr="00AA1A09">
        <w:trPr>
          <w:jc w:val="center"/>
        </w:trPr>
        <w:tc>
          <w:tcPr>
            <w:tcW w:w="954" w:type="pct"/>
          </w:tcPr>
          <w:p w14:paraId="08D92A7B"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Resultado: 3</w:t>
            </w:r>
          </w:p>
          <w:p w14:paraId="0E3F58A0"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Observación: 3</w:t>
            </w:r>
          </w:p>
        </w:tc>
        <w:tc>
          <w:tcPr>
            <w:tcW w:w="1545" w:type="pct"/>
          </w:tcPr>
          <w:p w14:paraId="2F37AC24"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Discrepancias en la documentación presentada en expedientes unitarios de adquisiciones</w:t>
            </w:r>
          </w:p>
        </w:tc>
        <w:tc>
          <w:tcPr>
            <w:tcW w:w="1471" w:type="pct"/>
          </w:tcPr>
          <w:p w14:paraId="05D3A356"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(3F) Deficiencias en el procedimiento de adquisición o adjudicaciones fuera de norma</w:t>
            </w:r>
          </w:p>
        </w:tc>
        <w:tc>
          <w:tcPr>
            <w:tcW w:w="1030" w:type="pct"/>
          </w:tcPr>
          <w:p w14:paraId="06827642" w14:textId="2D1F8319" w:rsidR="00900330" w:rsidRPr="00AA1A09" w:rsidRDefault="00833E34" w:rsidP="00946E6F">
            <w:pPr>
              <w:spacing w:line="276" w:lineRule="auto"/>
              <w:jc w:val="right"/>
              <w:rPr>
                <w:rFonts w:ascii="Arial" w:hAnsi="Arial" w:cs="Arial"/>
                <w:sz w:val="20"/>
                <w:szCs w:val="20"/>
              </w:rPr>
            </w:pPr>
            <w:r w:rsidRPr="00AA1A09">
              <w:rPr>
                <w:rFonts w:ascii="Arial" w:eastAsiaTheme="minorHAnsi" w:hAnsi="Arial" w:cs="Arial"/>
                <w:sz w:val="20"/>
                <w:szCs w:val="20"/>
              </w:rPr>
              <w:t>Solventado</w:t>
            </w:r>
          </w:p>
        </w:tc>
      </w:tr>
      <w:tr w:rsidR="00900330" w:rsidRPr="00AA1A09" w14:paraId="7F9967D9" w14:textId="55FF7B4C" w:rsidTr="00AA1A09">
        <w:trPr>
          <w:jc w:val="center"/>
        </w:trPr>
        <w:tc>
          <w:tcPr>
            <w:tcW w:w="954" w:type="pct"/>
          </w:tcPr>
          <w:p w14:paraId="31536555"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Resultado: 3</w:t>
            </w:r>
          </w:p>
          <w:p w14:paraId="676343E5"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Observación: 4</w:t>
            </w:r>
          </w:p>
        </w:tc>
        <w:tc>
          <w:tcPr>
            <w:tcW w:w="1545" w:type="pct"/>
          </w:tcPr>
          <w:p w14:paraId="6630961C"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Discrepancias en la documentación presentada en expedientes unitarios de adquisiciones</w:t>
            </w:r>
          </w:p>
        </w:tc>
        <w:tc>
          <w:tcPr>
            <w:tcW w:w="1471" w:type="pct"/>
          </w:tcPr>
          <w:p w14:paraId="70FB9BEB"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(3F) Deficiencias en el procedimiento de adquisición o adjudicaciones fuera de norma</w:t>
            </w:r>
          </w:p>
        </w:tc>
        <w:tc>
          <w:tcPr>
            <w:tcW w:w="1030" w:type="pct"/>
          </w:tcPr>
          <w:p w14:paraId="09C8E9D4" w14:textId="77777777" w:rsidR="00900330" w:rsidRDefault="00833E34" w:rsidP="00946E6F">
            <w:pPr>
              <w:spacing w:line="276" w:lineRule="auto"/>
              <w:jc w:val="right"/>
              <w:rPr>
                <w:rFonts w:ascii="Arial" w:eastAsiaTheme="minorHAnsi" w:hAnsi="Arial" w:cs="Arial"/>
                <w:sz w:val="20"/>
                <w:szCs w:val="20"/>
              </w:rPr>
            </w:pPr>
            <w:r w:rsidRPr="00AA1A09">
              <w:rPr>
                <w:rFonts w:ascii="Arial" w:eastAsiaTheme="minorHAnsi" w:hAnsi="Arial" w:cs="Arial"/>
                <w:sz w:val="20"/>
                <w:szCs w:val="20"/>
              </w:rPr>
              <w:t>Solventado</w:t>
            </w:r>
          </w:p>
          <w:p w14:paraId="4529EABA" w14:textId="32C4DA77" w:rsidR="00B97B61" w:rsidRPr="00AA1A09" w:rsidRDefault="00B97B61" w:rsidP="00946E6F">
            <w:pPr>
              <w:spacing w:line="276" w:lineRule="auto"/>
              <w:jc w:val="right"/>
              <w:rPr>
                <w:rFonts w:ascii="Arial" w:hAnsi="Arial" w:cs="Arial"/>
                <w:sz w:val="20"/>
                <w:szCs w:val="20"/>
              </w:rPr>
            </w:pPr>
            <w:r>
              <w:rPr>
                <w:rFonts w:ascii="Arial" w:eastAsiaTheme="minorHAnsi" w:hAnsi="Arial" w:cs="Arial"/>
                <w:sz w:val="20"/>
                <w:szCs w:val="20"/>
              </w:rPr>
              <w:t>Recomendación</w:t>
            </w:r>
          </w:p>
        </w:tc>
      </w:tr>
      <w:tr w:rsidR="00900330" w:rsidRPr="00AA1A09" w14:paraId="1E617F07" w14:textId="741EAC6C" w:rsidTr="00AA1A09">
        <w:trPr>
          <w:jc w:val="center"/>
        </w:trPr>
        <w:tc>
          <w:tcPr>
            <w:tcW w:w="954" w:type="pct"/>
          </w:tcPr>
          <w:p w14:paraId="3B31FC2C"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lastRenderedPageBreak/>
              <w:t>Resultado: 4</w:t>
            </w:r>
          </w:p>
          <w:p w14:paraId="07A40612"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Observación: 5</w:t>
            </w:r>
          </w:p>
        </w:tc>
        <w:tc>
          <w:tcPr>
            <w:tcW w:w="1545" w:type="pct"/>
          </w:tcPr>
          <w:p w14:paraId="3A898B19" w14:textId="77777777" w:rsidR="00900330" w:rsidRPr="00AA1A09" w:rsidRDefault="00900330" w:rsidP="00E207D9">
            <w:pPr>
              <w:tabs>
                <w:tab w:val="left" w:pos="355"/>
                <w:tab w:val="center" w:pos="1629"/>
              </w:tabs>
              <w:spacing w:line="276" w:lineRule="auto"/>
              <w:jc w:val="both"/>
              <w:rPr>
                <w:rFonts w:ascii="Arial" w:hAnsi="Arial" w:cs="Arial"/>
                <w:sz w:val="20"/>
                <w:szCs w:val="20"/>
              </w:rPr>
            </w:pPr>
            <w:r w:rsidRPr="00AA1A09">
              <w:rPr>
                <w:rFonts w:ascii="Arial" w:hAnsi="Arial" w:cs="Arial"/>
                <w:sz w:val="20"/>
                <w:szCs w:val="20"/>
              </w:rPr>
              <w:t xml:space="preserve">Documentación comprobatoria y </w:t>
            </w:r>
            <w:proofErr w:type="spellStart"/>
            <w:r w:rsidRPr="00AA1A09">
              <w:rPr>
                <w:rFonts w:ascii="Arial" w:hAnsi="Arial" w:cs="Arial"/>
                <w:sz w:val="20"/>
                <w:szCs w:val="20"/>
              </w:rPr>
              <w:t>justificatoria</w:t>
            </w:r>
            <w:proofErr w:type="spellEnd"/>
            <w:r w:rsidRPr="00AA1A09">
              <w:rPr>
                <w:rFonts w:ascii="Arial" w:hAnsi="Arial" w:cs="Arial"/>
                <w:sz w:val="20"/>
                <w:szCs w:val="20"/>
              </w:rPr>
              <w:t xml:space="preserve"> parcial por servicios profesionales</w:t>
            </w:r>
          </w:p>
        </w:tc>
        <w:tc>
          <w:tcPr>
            <w:tcW w:w="1471" w:type="pct"/>
          </w:tcPr>
          <w:p w14:paraId="49AA1E84" w14:textId="77777777" w:rsidR="00900330" w:rsidRPr="00AA1A09" w:rsidRDefault="00900330" w:rsidP="00E207D9">
            <w:pPr>
              <w:tabs>
                <w:tab w:val="left" w:pos="590"/>
                <w:tab w:val="center" w:pos="1403"/>
              </w:tabs>
              <w:spacing w:line="276" w:lineRule="auto"/>
              <w:jc w:val="both"/>
              <w:rPr>
                <w:rFonts w:ascii="Arial" w:hAnsi="Arial" w:cs="Arial"/>
                <w:sz w:val="20"/>
                <w:szCs w:val="20"/>
              </w:rPr>
            </w:pPr>
            <w:r w:rsidRPr="00AA1A09">
              <w:rPr>
                <w:rFonts w:ascii="Arial" w:hAnsi="Arial" w:cs="Arial"/>
                <w:sz w:val="20"/>
                <w:szCs w:val="20"/>
              </w:rPr>
              <w:t>(1F) Falta de documentación comprobatoria y justificativa de las erogaciones</w:t>
            </w:r>
          </w:p>
        </w:tc>
        <w:tc>
          <w:tcPr>
            <w:tcW w:w="1030" w:type="pct"/>
          </w:tcPr>
          <w:p w14:paraId="64AE7C4E" w14:textId="77777777" w:rsidR="00900330" w:rsidRPr="00AA1A09" w:rsidRDefault="00946E6F" w:rsidP="00946E6F">
            <w:pPr>
              <w:tabs>
                <w:tab w:val="left" w:pos="590"/>
                <w:tab w:val="center" w:pos="1403"/>
              </w:tabs>
              <w:spacing w:line="276" w:lineRule="auto"/>
              <w:jc w:val="right"/>
              <w:rPr>
                <w:rFonts w:ascii="Arial" w:hAnsi="Arial" w:cs="Arial"/>
                <w:sz w:val="20"/>
                <w:szCs w:val="20"/>
              </w:rPr>
            </w:pPr>
            <w:r w:rsidRPr="00AA1A09">
              <w:rPr>
                <w:rFonts w:ascii="Arial" w:hAnsi="Arial" w:cs="Arial"/>
                <w:sz w:val="20"/>
                <w:szCs w:val="20"/>
              </w:rPr>
              <w:t>345,912.00</w:t>
            </w:r>
          </w:p>
          <w:p w14:paraId="57C996AE" w14:textId="6769AFD5" w:rsidR="00833E34" w:rsidRPr="00AA1A09" w:rsidRDefault="00833E34" w:rsidP="00946E6F">
            <w:pPr>
              <w:tabs>
                <w:tab w:val="left" w:pos="590"/>
                <w:tab w:val="center" w:pos="1403"/>
              </w:tabs>
              <w:spacing w:line="276" w:lineRule="auto"/>
              <w:jc w:val="right"/>
              <w:rPr>
                <w:rFonts w:ascii="Arial" w:hAnsi="Arial" w:cs="Arial"/>
                <w:sz w:val="20"/>
                <w:szCs w:val="20"/>
              </w:rPr>
            </w:pPr>
            <w:r w:rsidRPr="00AA1A09">
              <w:rPr>
                <w:rFonts w:ascii="Arial" w:eastAsiaTheme="minorHAnsi" w:hAnsi="Arial" w:cs="Arial"/>
                <w:sz w:val="20"/>
                <w:szCs w:val="20"/>
              </w:rPr>
              <w:t>Solventado</w:t>
            </w:r>
          </w:p>
        </w:tc>
      </w:tr>
      <w:tr w:rsidR="00900330" w:rsidRPr="00AA1A09" w14:paraId="5D9D2BE2" w14:textId="6BA67D55" w:rsidTr="00AA1A09">
        <w:trPr>
          <w:jc w:val="center"/>
        </w:trPr>
        <w:tc>
          <w:tcPr>
            <w:tcW w:w="954" w:type="pct"/>
          </w:tcPr>
          <w:p w14:paraId="1D52F78D"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Resultado: 4</w:t>
            </w:r>
          </w:p>
          <w:p w14:paraId="12EFA50E"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Observación: 6</w:t>
            </w:r>
          </w:p>
        </w:tc>
        <w:tc>
          <w:tcPr>
            <w:tcW w:w="1545" w:type="pct"/>
          </w:tcPr>
          <w:p w14:paraId="0E9BD2D8"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 xml:space="preserve">Documentación comprobatoria y </w:t>
            </w:r>
            <w:proofErr w:type="spellStart"/>
            <w:r w:rsidRPr="00AA1A09">
              <w:rPr>
                <w:rFonts w:ascii="Arial" w:hAnsi="Arial" w:cs="Arial"/>
                <w:sz w:val="20"/>
                <w:szCs w:val="20"/>
              </w:rPr>
              <w:t>justificatoria</w:t>
            </w:r>
            <w:proofErr w:type="spellEnd"/>
            <w:r w:rsidRPr="00AA1A09">
              <w:rPr>
                <w:rFonts w:ascii="Arial" w:hAnsi="Arial" w:cs="Arial"/>
                <w:sz w:val="20"/>
                <w:szCs w:val="20"/>
              </w:rPr>
              <w:t xml:space="preserve"> parcial por servicios profesionales</w:t>
            </w:r>
          </w:p>
        </w:tc>
        <w:tc>
          <w:tcPr>
            <w:tcW w:w="1471" w:type="pct"/>
          </w:tcPr>
          <w:p w14:paraId="0AF46A42"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(1F) Falta de documentación comprobatoria y justificativa de las erogaciones</w:t>
            </w:r>
          </w:p>
        </w:tc>
        <w:tc>
          <w:tcPr>
            <w:tcW w:w="1030" w:type="pct"/>
          </w:tcPr>
          <w:p w14:paraId="60B5D5EB" w14:textId="77777777" w:rsidR="00900330" w:rsidRPr="00AA1A09" w:rsidRDefault="00946E6F" w:rsidP="00946E6F">
            <w:pPr>
              <w:spacing w:line="276" w:lineRule="auto"/>
              <w:jc w:val="right"/>
              <w:rPr>
                <w:rFonts w:ascii="Arial" w:hAnsi="Arial" w:cs="Arial"/>
                <w:sz w:val="20"/>
                <w:szCs w:val="20"/>
              </w:rPr>
            </w:pPr>
            <w:r w:rsidRPr="00AA1A09">
              <w:rPr>
                <w:rFonts w:ascii="Arial" w:hAnsi="Arial" w:cs="Arial"/>
                <w:sz w:val="20"/>
                <w:szCs w:val="20"/>
              </w:rPr>
              <w:t>342,300.00</w:t>
            </w:r>
          </w:p>
          <w:p w14:paraId="6D2303D6" w14:textId="2E568ABF" w:rsidR="00833E34" w:rsidRPr="00AA1A09" w:rsidRDefault="00833E34" w:rsidP="00946E6F">
            <w:pPr>
              <w:spacing w:line="276" w:lineRule="auto"/>
              <w:jc w:val="right"/>
              <w:rPr>
                <w:rFonts w:ascii="Arial" w:hAnsi="Arial" w:cs="Arial"/>
                <w:sz w:val="20"/>
                <w:szCs w:val="20"/>
              </w:rPr>
            </w:pPr>
            <w:r w:rsidRPr="00AA1A09">
              <w:rPr>
                <w:rFonts w:ascii="Arial" w:eastAsiaTheme="minorHAnsi" w:hAnsi="Arial" w:cs="Arial"/>
                <w:sz w:val="20"/>
                <w:szCs w:val="20"/>
              </w:rPr>
              <w:t>Solventado</w:t>
            </w:r>
          </w:p>
        </w:tc>
      </w:tr>
      <w:tr w:rsidR="00900330" w:rsidRPr="00AA1A09" w14:paraId="27E06A6C" w14:textId="7357208D" w:rsidTr="00AA1A09">
        <w:trPr>
          <w:jc w:val="center"/>
        </w:trPr>
        <w:tc>
          <w:tcPr>
            <w:tcW w:w="954" w:type="pct"/>
          </w:tcPr>
          <w:p w14:paraId="71A968FF"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Resultado: 4</w:t>
            </w:r>
          </w:p>
          <w:p w14:paraId="0B2DEE0F"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Observación: 7</w:t>
            </w:r>
          </w:p>
        </w:tc>
        <w:tc>
          <w:tcPr>
            <w:tcW w:w="1545" w:type="pct"/>
          </w:tcPr>
          <w:p w14:paraId="7C126CD1"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 xml:space="preserve">Documentación comprobatoria y </w:t>
            </w:r>
            <w:proofErr w:type="spellStart"/>
            <w:r w:rsidRPr="00AA1A09">
              <w:rPr>
                <w:rFonts w:ascii="Arial" w:hAnsi="Arial" w:cs="Arial"/>
                <w:sz w:val="20"/>
                <w:szCs w:val="20"/>
              </w:rPr>
              <w:t>justificatoria</w:t>
            </w:r>
            <w:proofErr w:type="spellEnd"/>
            <w:r w:rsidRPr="00AA1A09">
              <w:rPr>
                <w:rFonts w:ascii="Arial" w:hAnsi="Arial" w:cs="Arial"/>
                <w:sz w:val="20"/>
                <w:szCs w:val="20"/>
              </w:rPr>
              <w:t xml:space="preserve"> parcial por servicios profesionales</w:t>
            </w:r>
          </w:p>
        </w:tc>
        <w:tc>
          <w:tcPr>
            <w:tcW w:w="1471" w:type="pct"/>
          </w:tcPr>
          <w:p w14:paraId="69E5970B"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(1F) Falta de documentación comprobatoria y justificativa de las erogaciones</w:t>
            </w:r>
          </w:p>
        </w:tc>
        <w:tc>
          <w:tcPr>
            <w:tcW w:w="1030" w:type="pct"/>
          </w:tcPr>
          <w:p w14:paraId="7088AC25" w14:textId="3312BC47" w:rsidR="00900330" w:rsidRPr="00AA1A09" w:rsidRDefault="00833E34" w:rsidP="00946E6F">
            <w:pPr>
              <w:spacing w:line="276" w:lineRule="auto"/>
              <w:jc w:val="right"/>
              <w:rPr>
                <w:rFonts w:ascii="Arial" w:hAnsi="Arial" w:cs="Arial"/>
                <w:sz w:val="20"/>
                <w:szCs w:val="20"/>
              </w:rPr>
            </w:pPr>
            <w:r w:rsidRPr="00AA1A09">
              <w:rPr>
                <w:rFonts w:ascii="Arial" w:eastAsiaTheme="minorHAnsi" w:hAnsi="Arial" w:cs="Arial"/>
                <w:sz w:val="20"/>
                <w:szCs w:val="20"/>
              </w:rPr>
              <w:t>Solventado</w:t>
            </w:r>
          </w:p>
        </w:tc>
      </w:tr>
      <w:tr w:rsidR="00900330" w:rsidRPr="00AA1A09" w14:paraId="714F91BC" w14:textId="4640E913" w:rsidTr="00AA1A09">
        <w:trPr>
          <w:jc w:val="center"/>
        </w:trPr>
        <w:tc>
          <w:tcPr>
            <w:tcW w:w="954" w:type="pct"/>
          </w:tcPr>
          <w:p w14:paraId="675F7A83"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Resultado: 5</w:t>
            </w:r>
          </w:p>
          <w:p w14:paraId="54EBE627" w14:textId="77777777" w:rsidR="00900330" w:rsidRPr="00AA1A09" w:rsidRDefault="00900330" w:rsidP="00E207D9">
            <w:pPr>
              <w:spacing w:line="276" w:lineRule="auto"/>
              <w:ind w:left="29" w:right="32"/>
              <w:rPr>
                <w:rFonts w:ascii="Arial" w:hAnsi="Arial" w:cs="Arial"/>
                <w:sz w:val="20"/>
                <w:szCs w:val="20"/>
                <w:highlight w:val="yellow"/>
              </w:rPr>
            </w:pPr>
            <w:r w:rsidRPr="00AA1A09">
              <w:rPr>
                <w:rFonts w:ascii="Arial" w:hAnsi="Arial" w:cs="Arial"/>
                <w:sz w:val="20"/>
                <w:szCs w:val="20"/>
              </w:rPr>
              <w:t>Observación: 8</w:t>
            </w:r>
          </w:p>
        </w:tc>
        <w:tc>
          <w:tcPr>
            <w:tcW w:w="1545" w:type="pct"/>
          </w:tcPr>
          <w:p w14:paraId="78E95BF4" w14:textId="77777777" w:rsidR="00900330" w:rsidRPr="00AA1A09" w:rsidRDefault="00900330" w:rsidP="00E207D9">
            <w:pPr>
              <w:spacing w:line="276" w:lineRule="auto"/>
              <w:jc w:val="both"/>
              <w:rPr>
                <w:rFonts w:ascii="Arial" w:hAnsi="Arial" w:cs="Arial"/>
                <w:sz w:val="20"/>
                <w:szCs w:val="20"/>
                <w:highlight w:val="yellow"/>
              </w:rPr>
            </w:pPr>
            <w:r w:rsidRPr="00AA1A09">
              <w:rPr>
                <w:rFonts w:ascii="Arial" w:hAnsi="Arial" w:cs="Arial"/>
                <w:sz w:val="20"/>
                <w:szCs w:val="20"/>
              </w:rPr>
              <w:t>Falta de documentación comprobatoria por rescisión de contrato</w:t>
            </w:r>
          </w:p>
        </w:tc>
        <w:tc>
          <w:tcPr>
            <w:tcW w:w="1471" w:type="pct"/>
          </w:tcPr>
          <w:p w14:paraId="2B798E29" w14:textId="77777777" w:rsidR="00900330" w:rsidRPr="00AA1A09" w:rsidRDefault="00900330" w:rsidP="00E207D9">
            <w:pPr>
              <w:spacing w:line="276" w:lineRule="auto"/>
              <w:jc w:val="both"/>
              <w:rPr>
                <w:rFonts w:ascii="Arial" w:hAnsi="Arial" w:cs="Arial"/>
                <w:sz w:val="20"/>
                <w:szCs w:val="20"/>
                <w:highlight w:val="yellow"/>
              </w:rPr>
            </w:pPr>
            <w:r w:rsidRPr="00AA1A09">
              <w:rPr>
                <w:rFonts w:ascii="Arial" w:hAnsi="Arial" w:cs="Arial"/>
                <w:sz w:val="20"/>
                <w:szCs w:val="20"/>
              </w:rPr>
              <w:t>(1F) Falta de documentación comprobatoria y justificativa de las erogaciones</w:t>
            </w:r>
          </w:p>
        </w:tc>
        <w:tc>
          <w:tcPr>
            <w:tcW w:w="1030" w:type="pct"/>
          </w:tcPr>
          <w:p w14:paraId="387005CB" w14:textId="77777777" w:rsidR="00900330" w:rsidRPr="00AA1A09" w:rsidRDefault="00946E6F" w:rsidP="00946E6F">
            <w:pPr>
              <w:spacing w:line="276" w:lineRule="auto"/>
              <w:jc w:val="right"/>
              <w:rPr>
                <w:rFonts w:ascii="Arial" w:hAnsi="Arial" w:cs="Arial"/>
                <w:sz w:val="20"/>
                <w:szCs w:val="20"/>
              </w:rPr>
            </w:pPr>
            <w:r w:rsidRPr="00AA1A09">
              <w:rPr>
                <w:rFonts w:ascii="Arial" w:hAnsi="Arial" w:cs="Arial"/>
                <w:sz w:val="20"/>
                <w:szCs w:val="20"/>
              </w:rPr>
              <w:t>1,075,051.73</w:t>
            </w:r>
          </w:p>
          <w:p w14:paraId="433A4B74" w14:textId="3EDC24EB" w:rsidR="00833E34" w:rsidRPr="00AA1A09" w:rsidRDefault="00833E34" w:rsidP="00946E6F">
            <w:pPr>
              <w:spacing w:line="276" w:lineRule="auto"/>
              <w:jc w:val="right"/>
              <w:rPr>
                <w:rFonts w:ascii="Arial" w:hAnsi="Arial" w:cs="Arial"/>
                <w:sz w:val="20"/>
                <w:szCs w:val="20"/>
              </w:rPr>
            </w:pPr>
            <w:r w:rsidRPr="00AA1A09">
              <w:rPr>
                <w:rFonts w:ascii="Arial" w:eastAsiaTheme="minorHAnsi" w:hAnsi="Arial" w:cs="Arial"/>
                <w:sz w:val="20"/>
                <w:szCs w:val="20"/>
              </w:rPr>
              <w:t>Solventado</w:t>
            </w:r>
          </w:p>
        </w:tc>
      </w:tr>
      <w:tr w:rsidR="00900330" w:rsidRPr="00AA1A09" w14:paraId="3FAEA2F1" w14:textId="2E6D7AE8" w:rsidTr="00AA1A09">
        <w:trPr>
          <w:jc w:val="center"/>
        </w:trPr>
        <w:tc>
          <w:tcPr>
            <w:tcW w:w="954" w:type="pct"/>
          </w:tcPr>
          <w:p w14:paraId="1496C725"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Resultado: 6</w:t>
            </w:r>
          </w:p>
          <w:p w14:paraId="77629501" w14:textId="77777777" w:rsidR="00900330" w:rsidRPr="00AA1A09" w:rsidRDefault="00900330" w:rsidP="00E207D9">
            <w:pPr>
              <w:spacing w:line="276" w:lineRule="auto"/>
              <w:ind w:left="29" w:right="32"/>
              <w:rPr>
                <w:rFonts w:ascii="Arial" w:hAnsi="Arial" w:cs="Arial"/>
                <w:sz w:val="20"/>
                <w:szCs w:val="20"/>
                <w:highlight w:val="yellow"/>
              </w:rPr>
            </w:pPr>
            <w:r w:rsidRPr="00AA1A09">
              <w:rPr>
                <w:rFonts w:ascii="Arial" w:hAnsi="Arial" w:cs="Arial"/>
                <w:sz w:val="20"/>
                <w:szCs w:val="20"/>
              </w:rPr>
              <w:t>Observación: 9</w:t>
            </w:r>
          </w:p>
        </w:tc>
        <w:tc>
          <w:tcPr>
            <w:tcW w:w="1545" w:type="pct"/>
          </w:tcPr>
          <w:p w14:paraId="1BFB3AE8" w14:textId="77777777" w:rsidR="00900330" w:rsidRPr="00AA1A09" w:rsidRDefault="00900330" w:rsidP="00E207D9">
            <w:pPr>
              <w:spacing w:line="276" w:lineRule="auto"/>
              <w:jc w:val="both"/>
              <w:rPr>
                <w:rFonts w:ascii="Arial" w:hAnsi="Arial" w:cs="Arial"/>
                <w:sz w:val="20"/>
                <w:szCs w:val="20"/>
                <w:highlight w:val="yellow"/>
              </w:rPr>
            </w:pPr>
            <w:r w:rsidRPr="00AA1A09">
              <w:rPr>
                <w:rFonts w:ascii="Arial" w:hAnsi="Arial" w:cs="Arial"/>
                <w:sz w:val="20"/>
                <w:szCs w:val="20"/>
              </w:rPr>
              <w:t xml:space="preserve">Falta de documentación </w:t>
            </w:r>
            <w:proofErr w:type="spellStart"/>
            <w:r w:rsidRPr="00AA1A09">
              <w:rPr>
                <w:rFonts w:ascii="Arial" w:hAnsi="Arial" w:cs="Arial"/>
                <w:sz w:val="20"/>
                <w:szCs w:val="20"/>
              </w:rPr>
              <w:t>justificatoria</w:t>
            </w:r>
            <w:proofErr w:type="spellEnd"/>
            <w:r w:rsidRPr="00AA1A09">
              <w:rPr>
                <w:rFonts w:ascii="Arial" w:hAnsi="Arial" w:cs="Arial"/>
                <w:sz w:val="20"/>
                <w:szCs w:val="20"/>
              </w:rPr>
              <w:t xml:space="preserve"> por modificación de plazos en entrega de servicios</w:t>
            </w:r>
          </w:p>
        </w:tc>
        <w:tc>
          <w:tcPr>
            <w:tcW w:w="1471" w:type="pct"/>
          </w:tcPr>
          <w:p w14:paraId="100F8D5B" w14:textId="77777777" w:rsidR="00900330" w:rsidRPr="00AA1A09" w:rsidRDefault="00900330" w:rsidP="00E207D9">
            <w:pPr>
              <w:spacing w:line="276" w:lineRule="auto"/>
              <w:ind w:right="49"/>
              <w:jc w:val="both"/>
              <w:rPr>
                <w:rFonts w:ascii="Arial" w:hAnsi="Arial" w:cs="Arial"/>
                <w:sz w:val="20"/>
                <w:szCs w:val="20"/>
                <w:highlight w:val="yellow"/>
              </w:rPr>
            </w:pPr>
            <w:r w:rsidRPr="00AA1A09">
              <w:rPr>
                <w:rFonts w:ascii="Arial" w:hAnsi="Arial" w:cs="Arial"/>
                <w:sz w:val="20"/>
                <w:szCs w:val="20"/>
              </w:rPr>
              <w:t>(1F) Falta de documentación comprobatoria y justificativa de las erogaciones</w:t>
            </w:r>
          </w:p>
        </w:tc>
        <w:tc>
          <w:tcPr>
            <w:tcW w:w="1030" w:type="pct"/>
          </w:tcPr>
          <w:p w14:paraId="037EC5C3" w14:textId="77777777" w:rsidR="00900330" w:rsidRPr="00AA1A09" w:rsidRDefault="00946E6F" w:rsidP="00946E6F">
            <w:pPr>
              <w:spacing w:line="276" w:lineRule="auto"/>
              <w:ind w:right="49"/>
              <w:jc w:val="right"/>
              <w:rPr>
                <w:rFonts w:ascii="Arial" w:hAnsi="Arial" w:cs="Arial"/>
                <w:sz w:val="20"/>
                <w:szCs w:val="20"/>
              </w:rPr>
            </w:pPr>
            <w:r w:rsidRPr="00AA1A09">
              <w:rPr>
                <w:rFonts w:ascii="Arial" w:hAnsi="Arial" w:cs="Arial"/>
                <w:sz w:val="20"/>
                <w:szCs w:val="20"/>
              </w:rPr>
              <w:t>3,127,346.11</w:t>
            </w:r>
          </w:p>
          <w:p w14:paraId="3910E0FC" w14:textId="269A9F95" w:rsidR="00833E34" w:rsidRPr="00AA1A09" w:rsidRDefault="00833E34" w:rsidP="00946E6F">
            <w:pPr>
              <w:spacing w:line="276" w:lineRule="auto"/>
              <w:ind w:right="49"/>
              <w:jc w:val="right"/>
              <w:rPr>
                <w:rFonts w:ascii="Arial" w:hAnsi="Arial" w:cs="Arial"/>
                <w:sz w:val="20"/>
                <w:szCs w:val="20"/>
              </w:rPr>
            </w:pPr>
            <w:r w:rsidRPr="00AA1A09">
              <w:rPr>
                <w:rFonts w:ascii="Arial" w:eastAsiaTheme="minorHAnsi" w:hAnsi="Arial" w:cs="Arial"/>
                <w:sz w:val="20"/>
                <w:szCs w:val="20"/>
              </w:rPr>
              <w:t>Solventado</w:t>
            </w:r>
          </w:p>
        </w:tc>
      </w:tr>
      <w:tr w:rsidR="00900330" w:rsidRPr="00AA1A09" w14:paraId="1AF3239B" w14:textId="5794010E" w:rsidTr="00AA1A09">
        <w:trPr>
          <w:jc w:val="center"/>
        </w:trPr>
        <w:tc>
          <w:tcPr>
            <w:tcW w:w="954" w:type="pct"/>
          </w:tcPr>
          <w:p w14:paraId="29ADCAF3"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Resultado: 7</w:t>
            </w:r>
          </w:p>
          <w:p w14:paraId="0B4F8620" w14:textId="77777777" w:rsidR="00900330" w:rsidRPr="00AA1A09" w:rsidRDefault="00900330" w:rsidP="00E207D9">
            <w:pPr>
              <w:spacing w:line="276" w:lineRule="auto"/>
              <w:ind w:left="29" w:right="32"/>
              <w:rPr>
                <w:rFonts w:ascii="Arial" w:hAnsi="Arial" w:cs="Arial"/>
                <w:sz w:val="20"/>
                <w:szCs w:val="20"/>
                <w:highlight w:val="yellow"/>
              </w:rPr>
            </w:pPr>
            <w:r w:rsidRPr="00AA1A09">
              <w:rPr>
                <w:rFonts w:ascii="Arial" w:hAnsi="Arial" w:cs="Arial"/>
                <w:sz w:val="20"/>
                <w:szCs w:val="20"/>
              </w:rPr>
              <w:t>Observación: 10</w:t>
            </w:r>
          </w:p>
        </w:tc>
        <w:tc>
          <w:tcPr>
            <w:tcW w:w="1545" w:type="pct"/>
          </w:tcPr>
          <w:p w14:paraId="04D935CC" w14:textId="77777777" w:rsidR="00900330" w:rsidRPr="00AA1A09" w:rsidRDefault="00900330" w:rsidP="00E207D9">
            <w:pPr>
              <w:spacing w:line="276" w:lineRule="auto"/>
              <w:jc w:val="both"/>
              <w:rPr>
                <w:rFonts w:ascii="Arial" w:hAnsi="Arial" w:cs="Arial"/>
                <w:sz w:val="20"/>
                <w:szCs w:val="20"/>
                <w:highlight w:val="yellow"/>
              </w:rPr>
            </w:pPr>
            <w:r w:rsidRPr="00AA1A09">
              <w:rPr>
                <w:rFonts w:ascii="Arial" w:hAnsi="Arial" w:cs="Arial"/>
                <w:sz w:val="20"/>
                <w:szCs w:val="20"/>
              </w:rPr>
              <w:t>Desactualización de Manuales y normativa interna para la gestión financiera</w:t>
            </w:r>
          </w:p>
        </w:tc>
        <w:tc>
          <w:tcPr>
            <w:tcW w:w="1471" w:type="pct"/>
          </w:tcPr>
          <w:p w14:paraId="1BF1811E" w14:textId="77777777" w:rsidR="00900330" w:rsidRPr="00AA1A09" w:rsidRDefault="00900330" w:rsidP="00E207D9">
            <w:pPr>
              <w:tabs>
                <w:tab w:val="left" w:pos="280"/>
                <w:tab w:val="center" w:pos="1403"/>
              </w:tabs>
              <w:spacing w:line="276" w:lineRule="auto"/>
              <w:jc w:val="both"/>
              <w:rPr>
                <w:rFonts w:ascii="Arial" w:hAnsi="Arial" w:cs="Arial"/>
                <w:sz w:val="20"/>
                <w:szCs w:val="20"/>
                <w:highlight w:val="yellow"/>
              </w:rPr>
            </w:pPr>
            <w:r w:rsidRPr="00AA1A09">
              <w:rPr>
                <w:rFonts w:ascii="Arial" w:hAnsi="Arial" w:cs="Arial"/>
                <w:sz w:val="20"/>
                <w:szCs w:val="20"/>
              </w:rPr>
              <w:t>(5A) Carencia o desactualización de manuales, normativa interna o disposiciones legales</w:t>
            </w:r>
          </w:p>
        </w:tc>
        <w:tc>
          <w:tcPr>
            <w:tcW w:w="1030" w:type="pct"/>
          </w:tcPr>
          <w:p w14:paraId="63F96A4C" w14:textId="38B5BF39" w:rsidR="00900330" w:rsidRPr="00AA1A09" w:rsidRDefault="00833E34" w:rsidP="00946E6F">
            <w:pPr>
              <w:tabs>
                <w:tab w:val="left" w:pos="280"/>
                <w:tab w:val="center" w:pos="1403"/>
              </w:tabs>
              <w:spacing w:line="276" w:lineRule="auto"/>
              <w:jc w:val="right"/>
              <w:rPr>
                <w:rFonts w:ascii="Arial" w:hAnsi="Arial" w:cs="Arial"/>
                <w:sz w:val="20"/>
                <w:szCs w:val="20"/>
              </w:rPr>
            </w:pPr>
            <w:r w:rsidRPr="00AA1A09">
              <w:rPr>
                <w:rFonts w:ascii="Arial" w:eastAsiaTheme="minorHAnsi" w:hAnsi="Arial" w:cs="Arial"/>
                <w:sz w:val="20"/>
                <w:szCs w:val="20"/>
              </w:rPr>
              <w:t>Solventado</w:t>
            </w:r>
          </w:p>
        </w:tc>
      </w:tr>
      <w:tr w:rsidR="00900330" w:rsidRPr="00AA1A09" w14:paraId="6D0CAB82" w14:textId="726FDB3E" w:rsidTr="00AA1A09">
        <w:trPr>
          <w:jc w:val="center"/>
        </w:trPr>
        <w:tc>
          <w:tcPr>
            <w:tcW w:w="954" w:type="pct"/>
          </w:tcPr>
          <w:p w14:paraId="7CA9C4A0"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 xml:space="preserve">Resultado: 8 </w:t>
            </w:r>
          </w:p>
          <w:p w14:paraId="17E92DBB" w14:textId="77777777" w:rsidR="00900330" w:rsidRPr="00AA1A09" w:rsidRDefault="00900330" w:rsidP="00E207D9">
            <w:pPr>
              <w:spacing w:line="276" w:lineRule="auto"/>
              <w:ind w:left="29" w:right="32"/>
              <w:rPr>
                <w:rFonts w:ascii="Arial" w:hAnsi="Arial" w:cs="Arial"/>
                <w:sz w:val="20"/>
                <w:szCs w:val="20"/>
                <w:highlight w:val="yellow"/>
              </w:rPr>
            </w:pPr>
            <w:r w:rsidRPr="00AA1A09">
              <w:rPr>
                <w:rFonts w:ascii="Arial" w:hAnsi="Arial" w:cs="Arial"/>
                <w:sz w:val="20"/>
                <w:szCs w:val="20"/>
              </w:rPr>
              <w:t>Observación: 11</w:t>
            </w:r>
          </w:p>
        </w:tc>
        <w:tc>
          <w:tcPr>
            <w:tcW w:w="1545" w:type="pct"/>
          </w:tcPr>
          <w:p w14:paraId="678C1F4B" w14:textId="77777777" w:rsidR="00900330" w:rsidRPr="00AA1A09" w:rsidRDefault="00900330" w:rsidP="00E207D9">
            <w:pPr>
              <w:spacing w:line="276" w:lineRule="auto"/>
              <w:jc w:val="both"/>
              <w:rPr>
                <w:rFonts w:ascii="Arial" w:hAnsi="Arial" w:cs="Arial"/>
                <w:sz w:val="20"/>
                <w:szCs w:val="20"/>
                <w:highlight w:val="yellow"/>
              </w:rPr>
            </w:pPr>
            <w:r w:rsidRPr="00AA1A09">
              <w:rPr>
                <w:rFonts w:ascii="Arial" w:hAnsi="Arial" w:cs="Arial"/>
                <w:sz w:val="20"/>
                <w:szCs w:val="20"/>
              </w:rPr>
              <w:t>Deficiente control de la asistencia del personal</w:t>
            </w:r>
          </w:p>
        </w:tc>
        <w:tc>
          <w:tcPr>
            <w:tcW w:w="1471" w:type="pct"/>
          </w:tcPr>
          <w:p w14:paraId="05998194" w14:textId="77777777" w:rsidR="00900330" w:rsidRPr="00AA1A09" w:rsidRDefault="00900330" w:rsidP="00E207D9">
            <w:pPr>
              <w:spacing w:line="276" w:lineRule="auto"/>
              <w:jc w:val="both"/>
              <w:rPr>
                <w:rFonts w:ascii="Arial" w:hAnsi="Arial" w:cs="Arial"/>
                <w:b/>
                <w:sz w:val="20"/>
                <w:szCs w:val="20"/>
                <w:highlight w:val="yellow"/>
              </w:rPr>
            </w:pPr>
            <w:r w:rsidRPr="00AA1A09">
              <w:rPr>
                <w:rFonts w:ascii="Arial" w:hAnsi="Arial" w:cs="Arial"/>
                <w:sz w:val="20"/>
                <w:szCs w:val="20"/>
              </w:rPr>
              <w:t>(5D) Falta de sistemas automatizados o deficiencias en su operación</w:t>
            </w:r>
          </w:p>
        </w:tc>
        <w:tc>
          <w:tcPr>
            <w:tcW w:w="1030" w:type="pct"/>
          </w:tcPr>
          <w:p w14:paraId="483AE078" w14:textId="55B159D0" w:rsidR="00900330" w:rsidRPr="00AA1A09" w:rsidRDefault="00833E34" w:rsidP="00946E6F">
            <w:pPr>
              <w:spacing w:line="276" w:lineRule="auto"/>
              <w:jc w:val="right"/>
              <w:rPr>
                <w:rFonts w:ascii="Arial" w:hAnsi="Arial" w:cs="Arial"/>
                <w:sz w:val="20"/>
                <w:szCs w:val="20"/>
              </w:rPr>
            </w:pPr>
            <w:r w:rsidRPr="00AA1A09">
              <w:rPr>
                <w:rFonts w:ascii="Arial" w:eastAsiaTheme="minorHAnsi" w:hAnsi="Arial" w:cs="Arial"/>
                <w:sz w:val="20"/>
                <w:szCs w:val="20"/>
              </w:rPr>
              <w:t>Solventado</w:t>
            </w:r>
          </w:p>
        </w:tc>
      </w:tr>
      <w:tr w:rsidR="00900330" w:rsidRPr="00AA1A09" w14:paraId="062445CC" w14:textId="15C23AAE" w:rsidTr="00AA1A09">
        <w:trPr>
          <w:jc w:val="center"/>
        </w:trPr>
        <w:tc>
          <w:tcPr>
            <w:tcW w:w="954" w:type="pct"/>
          </w:tcPr>
          <w:p w14:paraId="1A1C8288"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Resultado: 9</w:t>
            </w:r>
          </w:p>
          <w:p w14:paraId="52C848E3" w14:textId="77777777" w:rsidR="00900330" w:rsidRPr="00AA1A09" w:rsidRDefault="00900330" w:rsidP="00E207D9">
            <w:pPr>
              <w:spacing w:line="276" w:lineRule="auto"/>
              <w:ind w:left="29" w:right="32"/>
              <w:rPr>
                <w:rFonts w:ascii="Arial" w:hAnsi="Arial" w:cs="Arial"/>
                <w:sz w:val="20"/>
                <w:szCs w:val="20"/>
                <w:highlight w:val="yellow"/>
              </w:rPr>
            </w:pPr>
            <w:r w:rsidRPr="00AA1A09">
              <w:rPr>
                <w:rFonts w:ascii="Arial" w:hAnsi="Arial" w:cs="Arial"/>
                <w:sz w:val="20"/>
                <w:szCs w:val="20"/>
              </w:rPr>
              <w:t>Observación: 12</w:t>
            </w:r>
          </w:p>
        </w:tc>
        <w:tc>
          <w:tcPr>
            <w:tcW w:w="1545" w:type="pct"/>
          </w:tcPr>
          <w:p w14:paraId="68A1101E" w14:textId="77777777" w:rsidR="00900330" w:rsidRPr="00AA1A09" w:rsidRDefault="00900330" w:rsidP="00E207D9">
            <w:pPr>
              <w:spacing w:line="276" w:lineRule="auto"/>
              <w:jc w:val="both"/>
              <w:rPr>
                <w:rFonts w:ascii="Arial" w:hAnsi="Arial" w:cs="Arial"/>
                <w:sz w:val="20"/>
                <w:szCs w:val="20"/>
                <w:highlight w:val="yellow"/>
              </w:rPr>
            </w:pPr>
            <w:r w:rsidRPr="00AA1A09">
              <w:rPr>
                <w:rFonts w:ascii="Arial" w:hAnsi="Arial" w:cs="Arial"/>
                <w:bCs/>
                <w:sz w:val="20"/>
                <w:szCs w:val="20"/>
                <w:lang w:eastAsia="es-MX"/>
              </w:rPr>
              <w:t>Expedientes de personal incompletos conforme a la normatividad interna</w:t>
            </w:r>
          </w:p>
        </w:tc>
        <w:tc>
          <w:tcPr>
            <w:tcW w:w="1471" w:type="pct"/>
          </w:tcPr>
          <w:p w14:paraId="05F43F12" w14:textId="77777777" w:rsidR="00900330" w:rsidRPr="00AA1A09" w:rsidRDefault="00900330" w:rsidP="00E207D9">
            <w:pPr>
              <w:spacing w:line="276" w:lineRule="auto"/>
              <w:jc w:val="both"/>
              <w:rPr>
                <w:rFonts w:ascii="Arial" w:hAnsi="Arial" w:cs="Arial"/>
                <w:b/>
                <w:sz w:val="20"/>
                <w:szCs w:val="20"/>
                <w:highlight w:val="yellow"/>
              </w:rPr>
            </w:pPr>
            <w:r w:rsidRPr="00AA1A09">
              <w:rPr>
                <w:rFonts w:ascii="Arial" w:hAnsi="Arial" w:cs="Arial"/>
                <w:sz w:val="20"/>
                <w:szCs w:val="20"/>
              </w:rPr>
              <w:t>(</w:t>
            </w:r>
            <w:r w:rsidRPr="00AA1A09">
              <w:rPr>
                <w:rFonts w:ascii="Arial" w:hAnsi="Arial" w:cs="Arial"/>
                <w:bCs/>
                <w:sz w:val="20"/>
                <w:szCs w:val="20"/>
              </w:rPr>
              <w:t xml:space="preserve">5C) </w:t>
            </w:r>
            <w:r w:rsidRPr="00AA1A09">
              <w:rPr>
                <w:rFonts w:ascii="Arial" w:hAnsi="Arial" w:cs="Arial"/>
                <w:color w:val="000000"/>
                <w:sz w:val="20"/>
                <w:szCs w:val="20"/>
                <w:lang w:eastAsia="es-MX"/>
              </w:rPr>
              <w:t>Inadecuada integración, control y resguardo de expedientes</w:t>
            </w:r>
          </w:p>
        </w:tc>
        <w:tc>
          <w:tcPr>
            <w:tcW w:w="1030" w:type="pct"/>
          </w:tcPr>
          <w:p w14:paraId="37708C99" w14:textId="77777777" w:rsidR="00900330" w:rsidRDefault="00833E34" w:rsidP="00946E6F">
            <w:pPr>
              <w:spacing w:line="276" w:lineRule="auto"/>
              <w:jc w:val="right"/>
              <w:rPr>
                <w:rFonts w:ascii="Arial" w:eastAsiaTheme="minorHAnsi" w:hAnsi="Arial" w:cs="Arial"/>
                <w:sz w:val="20"/>
                <w:szCs w:val="20"/>
              </w:rPr>
            </w:pPr>
            <w:r w:rsidRPr="00AA1A09">
              <w:rPr>
                <w:rFonts w:ascii="Arial" w:eastAsiaTheme="minorHAnsi" w:hAnsi="Arial" w:cs="Arial"/>
                <w:sz w:val="20"/>
                <w:szCs w:val="20"/>
              </w:rPr>
              <w:t>Solventado</w:t>
            </w:r>
          </w:p>
          <w:p w14:paraId="5751EBF1" w14:textId="48D430CA" w:rsidR="00B97B61" w:rsidRPr="00AA1A09" w:rsidRDefault="00B97B61" w:rsidP="00946E6F">
            <w:pPr>
              <w:spacing w:line="276" w:lineRule="auto"/>
              <w:jc w:val="right"/>
              <w:rPr>
                <w:rFonts w:ascii="Arial" w:hAnsi="Arial" w:cs="Arial"/>
                <w:sz w:val="20"/>
                <w:szCs w:val="20"/>
              </w:rPr>
            </w:pPr>
            <w:r>
              <w:rPr>
                <w:rFonts w:ascii="Arial" w:eastAsiaTheme="minorHAnsi" w:hAnsi="Arial" w:cs="Arial"/>
                <w:sz w:val="20"/>
                <w:szCs w:val="20"/>
              </w:rPr>
              <w:t>Recomendación</w:t>
            </w:r>
          </w:p>
        </w:tc>
      </w:tr>
      <w:tr w:rsidR="00900330" w:rsidRPr="00AA1A09" w14:paraId="2E20209A" w14:textId="7CD5685F" w:rsidTr="00AA1A09">
        <w:trPr>
          <w:jc w:val="center"/>
        </w:trPr>
        <w:tc>
          <w:tcPr>
            <w:tcW w:w="954" w:type="pct"/>
          </w:tcPr>
          <w:p w14:paraId="389655B0"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Resultado: 10</w:t>
            </w:r>
          </w:p>
          <w:p w14:paraId="7A620BB6" w14:textId="77777777" w:rsidR="00900330" w:rsidRPr="00AA1A09" w:rsidRDefault="00900330" w:rsidP="00E207D9">
            <w:pPr>
              <w:spacing w:line="276" w:lineRule="auto"/>
              <w:ind w:left="29" w:right="32"/>
              <w:rPr>
                <w:rFonts w:ascii="Arial" w:hAnsi="Arial" w:cs="Arial"/>
                <w:sz w:val="20"/>
                <w:szCs w:val="20"/>
                <w:highlight w:val="yellow"/>
              </w:rPr>
            </w:pPr>
            <w:r w:rsidRPr="00AA1A09">
              <w:rPr>
                <w:rFonts w:ascii="Arial" w:hAnsi="Arial" w:cs="Arial"/>
                <w:sz w:val="20"/>
                <w:szCs w:val="20"/>
              </w:rPr>
              <w:t>Observación: 13</w:t>
            </w:r>
          </w:p>
        </w:tc>
        <w:tc>
          <w:tcPr>
            <w:tcW w:w="1545" w:type="pct"/>
          </w:tcPr>
          <w:p w14:paraId="1E684FF6" w14:textId="77777777" w:rsidR="00900330" w:rsidRPr="00AA1A09" w:rsidRDefault="00900330" w:rsidP="00E207D9">
            <w:pPr>
              <w:spacing w:line="276" w:lineRule="auto"/>
              <w:jc w:val="both"/>
              <w:rPr>
                <w:rFonts w:ascii="Arial" w:hAnsi="Arial" w:cs="Arial"/>
                <w:sz w:val="20"/>
                <w:szCs w:val="20"/>
                <w:highlight w:val="yellow"/>
              </w:rPr>
            </w:pPr>
            <w:r w:rsidRPr="00AA1A09">
              <w:rPr>
                <w:rFonts w:ascii="Arial" w:hAnsi="Arial" w:cs="Arial"/>
                <w:sz w:val="20"/>
                <w:szCs w:val="20"/>
              </w:rPr>
              <w:t>Expedientes incompletos del control, uso y resguardo del equipo de transporte</w:t>
            </w:r>
          </w:p>
        </w:tc>
        <w:tc>
          <w:tcPr>
            <w:tcW w:w="1471" w:type="pct"/>
          </w:tcPr>
          <w:p w14:paraId="22D05A2C" w14:textId="77777777" w:rsidR="00900330" w:rsidRPr="00AA1A09" w:rsidRDefault="00900330" w:rsidP="00E207D9">
            <w:pPr>
              <w:spacing w:line="276" w:lineRule="auto"/>
              <w:jc w:val="both"/>
              <w:rPr>
                <w:rFonts w:ascii="Arial" w:hAnsi="Arial" w:cs="Arial"/>
                <w:b/>
                <w:sz w:val="20"/>
                <w:szCs w:val="20"/>
                <w:highlight w:val="yellow"/>
              </w:rPr>
            </w:pPr>
            <w:r w:rsidRPr="00AA1A09">
              <w:rPr>
                <w:rFonts w:ascii="Arial" w:hAnsi="Arial" w:cs="Arial"/>
                <w:sz w:val="20"/>
                <w:szCs w:val="20"/>
              </w:rPr>
              <w:t>(5C) Inadecuada integración, control y resguardo de expedientes</w:t>
            </w:r>
          </w:p>
        </w:tc>
        <w:tc>
          <w:tcPr>
            <w:tcW w:w="1030" w:type="pct"/>
          </w:tcPr>
          <w:p w14:paraId="51E7FE67" w14:textId="77777777" w:rsidR="00900330" w:rsidRDefault="00833E34" w:rsidP="00946E6F">
            <w:pPr>
              <w:spacing w:line="276" w:lineRule="auto"/>
              <w:jc w:val="right"/>
              <w:rPr>
                <w:rFonts w:ascii="Arial" w:eastAsiaTheme="minorHAnsi" w:hAnsi="Arial" w:cs="Arial"/>
                <w:sz w:val="20"/>
                <w:szCs w:val="20"/>
              </w:rPr>
            </w:pPr>
            <w:r w:rsidRPr="00AA1A09">
              <w:rPr>
                <w:rFonts w:ascii="Arial" w:eastAsiaTheme="minorHAnsi" w:hAnsi="Arial" w:cs="Arial"/>
                <w:sz w:val="20"/>
                <w:szCs w:val="20"/>
              </w:rPr>
              <w:t>Solventado</w:t>
            </w:r>
          </w:p>
          <w:p w14:paraId="2211ECF7" w14:textId="57724C6E" w:rsidR="00B97B61" w:rsidRPr="00AA1A09" w:rsidRDefault="00B97B61" w:rsidP="00946E6F">
            <w:pPr>
              <w:spacing w:line="276" w:lineRule="auto"/>
              <w:jc w:val="right"/>
              <w:rPr>
                <w:rFonts w:ascii="Arial" w:hAnsi="Arial" w:cs="Arial"/>
                <w:sz w:val="20"/>
                <w:szCs w:val="20"/>
              </w:rPr>
            </w:pPr>
            <w:r>
              <w:rPr>
                <w:rFonts w:ascii="Arial" w:eastAsiaTheme="minorHAnsi" w:hAnsi="Arial" w:cs="Arial"/>
                <w:sz w:val="20"/>
                <w:szCs w:val="20"/>
              </w:rPr>
              <w:t>Recomendación</w:t>
            </w:r>
          </w:p>
        </w:tc>
      </w:tr>
      <w:tr w:rsidR="00900330" w:rsidRPr="00AA1A09" w14:paraId="6EA8D65D" w14:textId="24BC7B4D" w:rsidTr="00AA1A09">
        <w:trPr>
          <w:jc w:val="center"/>
        </w:trPr>
        <w:tc>
          <w:tcPr>
            <w:tcW w:w="954" w:type="pct"/>
          </w:tcPr>
          <w:p w14:paraId="218F8CE3"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Resultado: 11</w:t>
            </w:r>
          </w:p>
          <w:p w14:paraId="1B1CAB3F"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Observación: 14</w:t>
            </w:r>
          </w:p>
        </w:tc>
        <w:tc>
          <w:tcPr>
            <w:tcW w:w="1545" w:type="pct"/>
          </w:tcPr>
          <w:p w14:paraId="35E24E01"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Insuficiencia en los controles con respecto a las medidas de supervisión de los servicios contratados con terceros</w:t>
            </w:r>
          </w:p>
        </w:tc>
        <w:tc>
          <w:tcPr>
            <w:tcW w:w="1471" w:type="pct"/>
          </w:tcPr>
          <w:p w14:paraId="45D74618"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(3S) Incumplimiento en programas, convenios, contratos y/o acuerdos</w:t>
            </w:r>
          </w:p>
        </w:tc>
        <w:tc>
          <w:tcPr>
            <w:tcW w:w="1030" w:type="pct"/>
          </w:tcPr>
          <w:p w14:paraId="27B40957" w14:textId="77777777" w:rsidR="00900330" w:rsidRDefault="00833E34" w:rsidP="00946E6F">
            <w:pPr>
              <w:spacing w:line="276" w:lineRule="auto"/>
              <w:jc w:val="right"/>
              <w:rPr>
                <w:rFonts w:ascii="Arial" w:eastAsiaTheme="minorHAnsi" w:hAnsi="Arial" w:cs="Arial"/>
                <w:sz w:val="20"/>
                <w:szCs w:val="20"/>
              </w:rPr>
            </w:pPr>
            <w:r w:rsidRPr="00AA1A09">
              <w:rPr>
                <w:rFonts w:ascii="Arial" w:eastAsiaTheme="minorHAnsi" w:hAnsi="Arial" w:cs="Arial"/>
                <w:sz w:val="20"/>
                <w:szCs w:val="20"/>
              </w:rPr>
              <w:t>Solventado</w:t>
            </w:r>
          </w:p>
          <w:p w14:paraId="6DD2FBF5" w14:textId="3BA038B2" w:rsidR="00AA1A09" w:rsidRPr="00AA1A09" w:rsidRDefault="00AA1A09" w:rsidP="00946E6F">
            <w:pPr>
              <w:spacing w:line="276" w:lineRule="auto"/>
              <w:jc w:val="right"/>
              <w:rPr>
                <w:rFonts w:ascii="Arial" w:hAnsi="Arial" w:cs="Arial"/>
                <w:sz w:val="20"/>
                <w:szCs w:val="20"/>
              </w:rPr>
            </w:pPr>
            <w:r>
              <w:rPr>
                <w:rFonts w:ascii="Arial" w:eastAsiaTheme="minorHAnsi" w:hAnsi="Arial" w:cs="Arial"/>
                <w:sz w:val="20"/>
                <w:szCs w:val="20"/>
              </w:rPr>
              <w:t>Recomendación</w:t>
            </w:r>
          </w:p>
        </w:tc>
      </w:tr>
      <w:tr w:rsidR="00900330" w:rsidRPr="00AA1A09" w14:paraId="5513F298" w14:textId="5218CEAE" w:rsidTr="00AA1A09">
        <w:trPr>
          <w:jc w:val="center"/>
        </w:trPr>
        <w:tc>
          <w:tcPr>
            <w:tcW w:w="954" w:type="pct"/>
          </w:tcPr>
          <w:p w14:paraId="5E34B135"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Resultado: 12</w:t>
            </w:r>
          </w:p>
          <w:p w14:paraId="267F2F2C" w14:textId="77777777" w:rsidR="00900330" w:rsidRPr="00AA1A09" w:rsidRDefault="00900330" w:rsidP="00E207D9">
            <w:pPr>
              <w:spacing w:line="276" w:lineRule="auto"/>
              <w:ind w:left="29" w:right="32"/>
              <w:rPr>
                <w:rFonts w:ascii="Arial" w:hAnsi="Arial" w:cs="Arial"/>
                <w:sz w:val="20"/>
                <w:szCs w:val="20"/>
              </w:rPr>
            </w:pPr>
            <w:r w:rsidRPr="00AA1A09">
              <w:rPr>
                <w:rFonts w:ascii="Arial" w:hAnsi="Arial" w:cs="Arial"/>
                <w:sz w:val="20"/>
                <w:szCs w:val="20"/>
              </w:rPr>
              <w:t>Observación: 15</w:t>
            </w:r>
          </w:p>
        </w:tc>
        <w:tc>
          <w:tcPr>
            <w:tcW w:w="1545" w:type="pct"/>
          </w:tcPr>
          <w:p w14:paraId="78417A8E"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Bienes intangibles registrados erróneamente</w:t>
            </w:r>
          </w:p>
        </w:tc>
        <w:tc>
          <w:tcPr>
            <w:tcW w:w="1471" w:type="pct"/>
          </w:tcPr>
          <w:p w14:paraId="0307960C" w14:textId="77777777" w:rsidR="00900330" w:rsidRPr="00AA1A09" w:rsidRDefault="00900330" w:rsidP="00E207D9">
            <w:pPr>
              <w:spacing w:line="276" w:lineRule="auto"/>
              <w:jc w:val="both"/>
              <w:rPr>
                <w:rFonts w:ascii="Arial" w:hAnsi="Arial" w:cs="Arial"/>
                <w:sz w:val="20"/>
                <w:szCs w:val="20"/>
              </w:rPr>
            </w:pPr>
            <w:r w:rsidRPr="00AA1A09">
              <w:rPr>
                <w:rFonts w:ascii="Arial" w:hAnsi="Arial" w:cs="Arial"/>
                <w:sz w:val="20"/>
                <w:szCs w:val="20"/>
              </w:rPr>
              <w:t>(4B) Operaciones o bienes no registrados o registrados errónea o extemporáneamente</w:t>
            </w:r>
          </w:p>
        </w:tc>
        <w:tc>
          <w:tcPr>
            <w:tcW w:w="1030" w:type="pct"/>
          </w:tcPr>
          <w:p w14:paraId="1CBDB99D" w14:textId="7495F68E" w:rsidR="00900330" w:rsidRPr="00AA1A09" w:rsidRDefault="00833E34" w:rsidP="00946E6F">
            <w:pPr>
              <w:spacing w:line="276" w:lineRule="auto"/>
              <w:jc w:val="right"/>
              <w:rPr>
                <w:rFonts w:ascii="Arial" w:hAnsi="Arial" w:cs="Arial"/>
                <w:sz w:val="20"/>
                <w:szCs w:val="20"/>
              </w:rPr>
            </w:pPr>
            <w:r w:rsidRPr="00AA1A09">
              <w:rPr>
                <w:rFonts w:ascii="Arial" w:eastAsiaTheme="minorHAnsi" w:hAnsi="Arial" w:cs="Arial"/>
                <w:sz w:val="20"/>
                <w:szCs w:val="20"/>
              </w:rPr>
              <w:t>Solventado</w:t>
            </w:r>
          </w:p>
        </w:tc>
      </w:tr>
      <w:tr w:rsidR="00AF7185" w:rsidRPr="00AA1A09" w14:paraId="05FD4D56" w14:textId="77777777" w:rsidTr="00AA1A09">
        <w:trPr>
          <w:jc w:val="center"/>
        </w:trPr>
        <w:tc>
          <w:tcPr>
            <w:tcW w:w="954" w:type="pct"/>
          </w:tcPr>
          <w:p w14:paraId="3D6AFA88" w14:textId="77777777" w:rsidR="00AF7185" w:rsidRPr="00AA1A09" w:rsidRDefault="00AF7185" w:rsidP="00E207D9">
            <w:pPr>
              <w:spacing w:line="276" w:lineRule="auto"/>
              <w:ind w:left="29" w:right="32"/>
              <w:rPr>
                <w:rFonts w:ascii="Arial" w:hAnsi="Arial" w:cs="Arial"/>
                <w:sz w:val="20"/>
                <w:szCs w:val="20"/>
              </w:rPr>
            </w:pPr>
          </w:p>
        </w:tc>
        <w:tc>
          <w:tcPr>
            <w:tcW w:w="1545" w:type="pct"/>
          </w:tcPr>
          <w:p w14:paraId="4C1A1004" w14:textId="77777777" w:rsidR="00AF7185" w:rsidRPr="00AA1A09" w:rsidRDefault="00AF7185" w:rsidP="00E207D9">
            <w:pPr>
              <w:spacing w:line="276" w:lineRule="auto"/>
              <w:jc w:val="both"/>
              <w:rPr>
                <w:rFonts w:ascii="Arial" w:hAnsi="Arial" w:cs="Arial"/>
                <w:sz w:val="20"/>
                <w:szCs w:val="20"/>
              </w:rPr>
            </w:pPr>
          </w:p>
        </w:tc>
        <w:tc>
          <w:tcPr>
            <w:tcW w:w="1471" w:type="pct"/>
          </w:tcPr>
          <w:p w14:paraId="1EE556C7" w14:textId="18A64535" w:rsidR="00AF7185" w:rsidRPr="00AA1A09" w:rsidRDefault="00AF7185" w:rsidP="00AF7185">
            <w:pPr>
              <w:spacing w:line="276" w:lineRule="auto"/>
              <w:jc w:val="right"/>
              <w:rPr>
                <w:rFonts w:ascii="Arial" w:hAnsi="Arial" w:cs="Arial"/>
                <w:b/>
                <w:sz w:val="20"/>
                <w:szCs w:val="20"/>
              </w:rPr>
            </w:pPr>
            <w:r w:rsidRPr="00AA1A09">
              <w:rPr>
                <w:rFonts w:ascii="Arial" w:hAnsi="Arial" w:cs="Arial"/>
                <w:b/>
                <w:sz w:val="20"/>
                <w:szCs w:val="20"/>
              </w:rPr>
              <w:t>Total Observado</w:t>
            </w:r>
          </w:p>
        </w:tc>
        <w:tc>
          <w:tcPr>
            <w:tcW w:w="1030" w:type="pct"/>
          </w:tcPr>
          <w:p w14:paraId="5F3EC44B" w14:textId="73F6131F" w:rsidR="00AF7185" w:rsidRPr="00AA1A09" w:rsidRDefault="00946E6F" w:rsidP="00AF7185">
            <w:pPr>
              <w:spacing w:line="276" w:lineRule="auto"/>
              <w:jc w:val="right"/>
              <w:rPr>
                <w:rFonts w:ascii="Arial" w:hAnsi="Arial" w:cs="Arial"/>
                <w:b/>
                <w:sz w:val="20"/>
                <w:szCs w:val="20"/>
              </w:rPr>
            </w:pPr>
            <w:r w:rsidRPr="00AA1A09">
              <w:rPr>
                <w:rFonts w:ascii="Arial" w:hAnsi="Arial" w:cs="Arial"/>
                <w:b/>
                <w:sz w:val="20"/>
                <w:szCs w:val="20"/>
              </w:rPr>
              <w:t>$5,055,504.83</w:t>
            </w:r>
          </w:p>
        </w:tc>
      </w:tr>
    </w:tbl>
    <w:p w14:paraId="23351159" w14:textId="77777777" w:rsidR="00900330" w:rsidRPr="00B2108D" w:rsidRDefault="00900330" w:rsidP="00B73486">
      <w:pPr>
        <w:spacing w:line="360" w:lineRule="auto"/>
        <w:ind w:right="141"/>
        <w:jc w:val="both"/>
        <w:rPr>
          <w:rFonts w:ascii="Arial" w:hAnsi="Arial" w:cs="Arial"/>
          <w:b/>
          <w:bCs/>
          <w:sz w:val="16"/>
          <w:szCs w:val="16"/>
        </w:rPr>
      </w:pPr>
    </w:p>
    <w:p w14:paraId="72F03CD8" w14:textId="77777777" w:rsidR="00003A9E" w:rsidRDefault="00003A9E" w:rsidP="00B73486">
      <w:pPr>
        <w:spacing w:line="360" w:lineRule="auto"/>
        <w:ind w:right="141"/>
        <w:jc w:val="both"/>
        <w:rPr>
          <w:rFonts w:ascii="Arial" w:hAnsi="Arial" w:cs="Arial"/>
          <w:b/>
        </w:rPr>
      </w:pPr>
    </w:p>
    <w:p w14:paraId="5F36A17D" w14:textId="6AE51F57" w:rsidR="00A623C4" w:rsidRPr="00761FA3" w:rsidRDefault="00A623C4" w:rsidP="00B73486">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4DDE1758" w14:textId="77777777" w:rsidR="00A623C4" w:rsidRPr="00245968" w:rsidRDefault="00A623C4" w:rsidP="00B73486">
      <w:pPr>
        <w:spacing w:line="276" w:lineRule="auto"/>
        <w:ind w:right="141"/>
        <w:jc w:val="both"/>
        <w:rPr>
          <w:rFonts w:ascii="Arial" w:hAnsi="Arial" w:cs="Arial"/>
          <w:b/>
          <w:sz w:val="20"/>
          <w:szCs w:val="20"/>
        </w:rPr>
      </w:pPr>
    </w:p>
    <w:p w14:paraId="5C326A20" w14:textId="77777777" w:rsidR="00A623C4" w:rsidRDefault="00A623C4" w:rsidP="00B73486">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151E41B1" w14:textId="77777777" w:rsidR="00A623C4" w:rsidRPr="00B2108D" w:rsidRDefault="00A623C4" w:rsidP="00B73486">
      <w:pPr>
        <w:spacing w:line="360" w:lineRule="auto"/>
        <w:ind w:right="141"/>
        <w:jc w:val="both"/>
        <w:rPr>
          <w:rFonts w:ascii="Arial" w:hAnsi="Arial" w:cs="Arial"/>
          <w:sz w:val="14"/>
          <w:szCs w:val="14"/>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59"/>
        <w:gridCol w:w="24"/>
        <w:gridCol w:w="1643"/>
      </w:tblGrid>
      <w:tr w:rsidR="00A623C4" w:rsidRPr="00AA1A09" w14:paraId="36B22A0A" w14:textId="77777777" w:rsidTr="00024164">
        <w:trPr>
          <w:trHeight w:val="624"/>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CAE4A3" w14:textId="77777777" w:rsidR="00A623C4" w:rsidRPr="00AA1A09" w:rsidRDefault="00A623C4" w:rsidP="00B73486">
            <w:pPr>
              <w:spacing w:line="276" w:lineRule="auto"/>
              <w:ind w:right="141"/>
              <w:jc w:val="center"/>
              <w:rPr>
                <w:rFonts w:ascii="Arial" w:hAnsi="Arial" w:cs="Arial"/>
                <w:b/>
                <w:sz w:val="20"/>
                <w:szCs w:val="20"/>
              </w:rPr>
            </w:pPr>
            <w:r w:rsidRPr="00AA1A09">
              <w:rPr>
                <w:rFonts w:ascii="Arial" w:hAnsi="Arial" w:cs="Arial"/>
                <w:b/>
                <w:sz w:val="20"/>
                <w:szCs w:val="20"/>
              </w:rPr>
              <w:t xml:space="preserve">Resumen General de Observaciones y </w:t>
            </w:r>
            <w:proofErr w:type="spellStart"/>
            <w:r w:rsidRPr="00AA1A09">
              <w:rPr>
                <w:rFonts w:ascii="Arial" w:hAnsi="Arial" w:cs="Arial"/>
                <w:b/>
                <w:sz w:val="20"/>
                <w:szCs w:val="20"/>
              </w:rPr>
              <w:t>Solventaciones</w:t>
            </w:r>
            <w:proofErr w:type="spellEnd"/>
            <w:r w:rsidRPr="00AA1A09">
              <w:rPr>
                <w:rFonts w:ascii="Arial" w:hAnsi="Arial" w:cs="Arial"/>
                <w:b/>
                <w:sz w:val="20"/>
                <w:szCs w:val="20"/>
              </w:rPr>
              <w:t xml:space="preserve"> en Materia Financiera</w:t>
            </w:r>
          </w:p>
        </w:tc>
      </w:tr>
      <w:tr w:rsidR="00A623C4" w:rsidRPr="00AA1A09" w14:paraId="3BCBF825" w14:textId="77777777" w:rsidTr="00024164">
        <w:trPr>
          <w:trHeight w:val="497"/>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039FE4" w14:textId="77777777" w:rsidR="00A623C4" w:rsidRPr="00AA1A09" w:rsidRDefault="00A623C4" w:rsidP="00B73486">
            <w:pPr>
              <w:spacing w:line="276" w:lineRule="auto"/>
              <w:ind w:right="141"/>
              <w:jc w:val="center"/>
              <w:rPr>
                <w:rFonts w:ascii="Arial" w:hAnsi="Arial" w:cs="Arial"/>
                <w:b/>
                <w:sz w:val="20"/>
                <w:szCs w:val="20"/>
              </w:rPr>
            </w:pPr>
            <w:r w:rsidRPr="00AA1A09">
              <w:rPr>
                <w:rFonts w:ascii="Arial" w:hAnsi="Arial" w:cs="Arial"/>
                <w:b/>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19DAFF" w14:textId="77777777" w:rsidR="00A623C4" w:rsidRPr="00AA1A09" w:rsidRDefault="00A623C4" w:rsidP="00B73486">
            <w:pPr>
              <w:spacing w:line="276" w:lineRule="auto"/>
              <w:ind w:right="141"/>
              <w:jc w:val="center"/>
              <w:rPr>
                <w:rFonts w:ascii="Arial" w:hAnsi="Arial" w:cs="Arial"/>
                <w:b/>
                <w:sz w:val="20"/>
                <w:szCs w:val="20"/>
              </w:rPr>
            </w:pPr>
            <w:r w:rsidRPr="00AA1A09">
              <w:rPr>
                <w:rFonts w:ascii="Arial" w:hAnsi="Arial" w:cs="Arial"/>
                <w:b/>
                <w:sz w:val="20"/>
                <w:szCs w:val="20"/>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F35B81" w14:textId="77777777" w:rsidR="00A623C4" w:rsidRPr="00AA1A09" w:rsidRDefault="00A623C4" w:rsidP="00B73486">
            <w:pPr>
              <w:spacing w:line="276" w:lineRule="auto"/>
              <w:ind w:right="141"/>
              <w:jc w:val="center"/>
              <w:rPr>
                <w:rFonts w:ascii="Arial" w:hAnsi="Arial" w:cs="Arial"/>
                <w:b/>
                <w:sz w:val="20"/>
                <w:szCs w:val="20"/>
              </w:rPr>
            </w:pPr>
            <w:r w:rsidRPr="00AA1A09">
              <w:rPr>
                <w:rFonts w:ascii="Arial" w:hAnsi="Arial" w:cs="Arial"/>
                <w:b/>
                <w:sz w:val="20"/>
                <w:szCs w:val="20"/>
              </w:rPr>
              <w:t xml:space="preserve">Modalidades de </w:t>
            </w:r>
            <w:proofErr w:type="spellStart"/>
            <w:r w:rsidRPr="00AA1A09">
              <w:rPr>
                <w:rFonts w:ascii="Arial" w:hAnsi="Arial" w:cs="Arial"/>
                <w:b/>
                <w:sz w:val="20"/>
                <w:szCs w:val="20"/>
              </w:rPr>
              <w:t>Solventación</w:t>
            </w:r>
            <w:proofErr w:type="spellEnd"/>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0A28CC" w14:textId="77777777" w:rsidR="00A623C4" w:rsidRPr="00AA1A09" w:rsidRDefault="00A623C4" w:rsidP="00B73486">
            <w:pPr>
              <w:spacing w:line="276" w:lineRule="auto"/>
              <w:ind w:right="141"/>
              <w:jc w:val="center"/>
              <w:rPr>
                <w:rFonts w:ascii="Arial" w:hAnsi="Arial" w:cs="Arial"/>
                <w:b/>
                <w:sz w:val="20"/>
                <w:szCs w:val="20"/>
              </w:rPr>
            </w:pPr>
            <w:r w:rsidRPr="00AA1A09">
              <w:rPr>
                <w:rFonts w:ascii="Arial" w:hAnsi="Arial" w:cs="Arial"/>
                <w:b/>
                <w:sz w:val="20"/>
                <w:szCs w:val="20"/>
              </w:rPr>
              <w:t>Pendiente de Solventar</w:t>
            </w:r>
          </w:p>
        </w:tc>
      </w:tr>
      <w:tr w:rsidR="00A623C4" w:rsidRPr="00AA1A09" w14:paraId="06BC53A1" w14:textId="77777777" w:rsidTr="00024164">
        <w:trPr>
          <w:trHeight w:val="39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FB7BB6" w14:textId="77777777" w:rsidR="00A623C4" w:rsidRPr="00AA1A09" w:rsidRDefault="00A623C4" w:rsidP="00B73486">
            <w:pPr>
              <w:spacing w:line="276" w:lineRule="auto"/>
              <w:ind w:right="141"/>
              <w:jc w:val="center"/>
              <w:rPr>
                <w:rFonts w:ascii="Arial" w:hAnsi="Arial" w:cs="Arial"/>
                <w:b/>
                <w:sz w:val="20"/>
                <w:szCs w:val="20"/>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C5A78B" w14:textId="77777777" w:rsidR="00A623C4" w:rsidRPr="00AA1A09" w:rsidRDefault="00A623C4" w:rsidP="00B73486">
            <w:pPr>
              <w:spacing w:line="276" w:lineRule="auto"/>
              <w:ind w:right="141"/>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B962B4" w14:textId="77777777" w:rsidR="00A623C4" w:rsidRPr="00AA1A09" w:rsidRDefault="00A623C4" w:rsidP="00B73486">
            <w:pPr>
              <w:spacing w:line="276" w:lineRule="auto"/>
              <w:ind w:right="141"/>
              <w:jc w:val="center"/>
              <w:rPr>
                <w:rFonts w:ascii="Arial" w:hAnsi="Arial" w:cs="Arial"/>
                <w:b/>
                <w:sz w:val="20"/>
                <w:szCs w:val="20"/>
              </w:rPr>
            </w:pPr>
            <w:r w:rsidRPr="00AA1A09">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0C59C0" w14:textId="77777777" w:rsidR="00A623C4" w:rsidRPr="00AA1A09" w:rsidRDefault="00A623C4" w:rsidP="00B73486">
            <w:pPr>
              <w:spacing w:line="276" w:lineRule="auto"/>
              <w:ind w:right="141"/>
              <w:jc w:val="center"/>
              <w:rPr>
                <w:rFonts w:ascii="Arial" w:hAnsi="Arial" w:cs="Arial"/>
                <w:b/>
                <w:sz w:val="20"/>
                <w:szCs w:val="20"/>
              </w:rPr>
            </w:pPr>
            <w:r w:rsidRPr="00AA1A09">
              <w:rPr>
                <w:rFonts w:ascii="Arial" w:hAnsi="Arial" w:cs="Arial"/>
                <w:b/>
                <w:sz w:val="20"/>
                <w:szCs w:val="20"/>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DBE3BB" w14:textId="77777777" w:rsidR="00A623C4" w:rsidRPr="00AA1A09" w:rsidRDefault="00A623C4" w:rsidP="00B73486">
            <w:pPr>
              <w:spacing w:line="276" w:lineRule="auto"/>
              <w:ind w:right="141"/>
              <w:jc w:val="center"/>
              <w:rPr>
                <w:rFonts w:ascii="Arial" w:hAnsi="Arial" w:cs="Arial"/>
                <w:b/>
                <w:sz w:val="20"/>
                <w:szCs w:val="20"/>
              </w:rPr>
            </w:pPr>
          </w:p>
        </w:tc>
      </w:tr>
      <w:tr w:rsidR="00833E34" w:rsidRPr="00AA1A09" w14:paraId="449FD787" w14:textId="77777777" w:rsidTr="00024164">
        <w:trPr>
          <w:trHeight w:val="82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01E1010A" w14:textId="091F9773" w:rsidR="00833E34" w:rsidRPr="00AA1A09" w:rsidRDefault="00833E34" w:rsidP="00833E34">
            <w:pPr>
              <w:spacing w:line="360" w:lineRule="auto"/>
              <w:ind w:right="141"/>
              <w:jc w:val="both"/>
              <w:rPr>
                <w:rFonts w:ascii="Arial" w:hAnsi="Arial" w:cs="Arial"/>
                <w:sz w:val="20"/>
                <w:szCs w:val="20"/>
              </w:rPr>
            </w:pPr>
            <w:r w:rsidRPr="00AA1A09">
              <w:rPr>
                <w:rFonts w:ascii="Arial" w:eastAsiaTheme="minorHAnsi" w:hAnsi="Arial" w:cs="Arial"/>
                <w:sz w:val="20"/>
                <w:szCs w:val="20"/>
              </w:rPr>
              <w:t>(1B) Falta de documentación comprobatoria de las erogaciones o que no reúnen requisitos fiscales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0242E82E" w14:textId="77777777" w:rsidR="00833E34" w:rsidRPr="00AA1A09" w:rsidRDefault="00833E34" w:rsidP="00833E34">
            <w:pPr>
              <w:spacing w:line="276" w:lineRule="auto"/>
              <w:jc w:val="right"/>
              <w:rPr>
                <w:rFonts w:ascii="Arial" w:eastAsiaTheme="minorHAnsi" w:hAnsi="Arial" w:cs="Arial"/>
                <w:sz w:val="20"/>
                <w:szCs w:val="20"/>
              </w:rPr>
            </w:pPr>
            <w:r w:rsidRPr="00AA1A09">
              <w:rPr>
                <w:rFonts w:ascii="Arial" w:eastAsiaTheme="minorHAnsi" w:hAnsi="Arial" w:cs="Arial"/>
                <w:sz w:val="20"/>
                <w:szCs w:val="20"/>
              </w:rPr>
              <w:t>$164,894.99</w:t>
            </w:r>
          </w:p>
          <w:p w14:paraId="2FF17CEE" w14:textId="36916E8C" w:rsidR="00833E34" w:rsidRPr="00AA1A09" w:rsidRDefault="00833E34" w:rsidP="00833E34">
            <w:pPr>
              <w:spacing w:line="360"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FFDBB" w14:textId="77777777" w:rsidR="00833E34" w:rsidRPr="00AA1A09" w:rsidRDefault="00833E34" w:rsidP="00833E34">
            <w:pPr>
              <w:spacing w:line="276" w:lineRule="auto"/>
              <w:jc w:val="right"/>
              <w:rPr>
                <w:rFonts w:ascii="Arial" w:eastAsiaTheme="minorHAnsi" w:hAnsi="Arial" w:cs="Arial"/>
                <w:sz w:val="20"/>
                <w:szCs w:val="20"/>
              </w:rPr>
            </w:pPr>
            <w:r w:rsidRPr="00AA1A09">
              <w:rPr>
                <w:rFonts w:ascii="Arial" w:eastAsiaTheme="minorHAnsi" w:hAnsi="Arial" w:cs="Arial"/>
                <w:sz w:val="20"/>
                <w:szCs w:val="20"/>
              </w:rPr>
              <w:t>$164,894.99</w:t>
            </w:r>
          </w:p>
          <w:p w14:paraId="5E5274F4" w14:textId="368F67E4" w:rsidR="00833E34" w:rsidRPr="00AA1A09" w:rsidRDefault="00833E34" w:rsidP="00833E34">
            <w:pPr>
              <w:spacing w:line="360" w:lineRule="auto"/>
              <w:ind w:right="141"/>
              <w:jc w:val="right"/>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5D91DB" w14:textId="4554934B" w:rsidR="00833E34" w:rsidRPr="00AA1A09" w:rsidRDefault="00833E34" w:rsidP="00833E34">
            <w:pPr>
              <w:spacing w:line="360" w:lineRule="auto"/>
              <w:ind w:right="35"/>
              <w:jc w:val="right"/>
              <w:rPr>
                <w:rFonts w:ascii="Arial" w:hAnsi="Arial" w:cs="Arial"/>
                <w:sz w:val="20"/>
                <w:szCs w:val="20"/>
              </w:rPr>
            </w:pPr>
            <w:r w:rsidRPr="00AA1A09">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B13089" w14:textId="0B9422E4" w:rsidR="00833E34" w:rsidRPr="00AA1A09" w:rsidRDefault="00833E34" w:rsidP="00833E34">
            <w:pPr>
              <w:spacing w:line="360" w:lineRule="auto"/>
              <w:ind w:right="35"/>
              <w:jc w:val="right"/>
              <w:rPr>
                <w:rFonts w:ascii="Arial" w:hAnsi="Arial" w:cs="Arial"/>
                <w:sz w:val="20"/>
                <w:szCs w:val="20"/>
              </w:rPr>
            </w:pPr>
            <w:r w:rsidRPr="00AA1A09">
              <w:rPr>
                <w:rFonts w:ascii="Arial" w:hAnsi="Arial" w:cs="Arial"/>
                <w:sz w:val="20"/>
                <w:szCs w:val="20"/>
              </w:rPr>
              <w:t>$0.00</w:t>
            </w:r>
          </w:p>
        </w:tc>
      </w:tr>
      <w:tr w:rsidR="00833E34" w:rsidRPr="00AA1A09" w14:paraId="4233F093" w14:textId="77777777" w:rsidTr="00E73C20">
        <w:trPr>
          <w:trHeight w:val="81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7A153362" w14:textId="1728C648" w:rsidR="00833E34" w:rsidRPr="00AA1A09" w:rsidRDefault="00833E34" w:rsidP="00833E34">
            <w:pPr>
              <w:spacing w:line="360" w:lineRule="auto"/>
              <w:ind w:right="141"/>
              <w:jc w:val="both"/>
              <w:rPr>
                <w:rFonts w:ascii="Arial" w:hAnsi="Arial" w:cs="Arial"/>
                <w:sz w:val="20"/>
                <w:szCs w:val="20"/>
              </w:rPr>
            </w:pPr>
            <w:r w:rsidRPr="00AA1A09">
              <w:rPr>
                <w:rFonts w:ascii="Arial" w:hAnsi="Arial" w:cs="Arial"/>
                <w:sz w:val="20"/>
                <w:szCs w:val="20"/>
              </w:rPr>
              <w:t>(1F) Falta de documentación comprobatoria y justificativa de las erogaciones</w:t>
            </w:r>
          </w:p>
        </w:tc>
        <w:tc>
          <w:tcPr>
            <w:tcW w:w="1701" w:type="dxa"/>
            <w:tcBorders>
              <w:top w:val="single" w:sz="4" w:space="0" w:color="BFBFBF" w:themeColor="background1" w:themeShade="BF"/>
              <w:left w:val="nil"/>
              <w:bottom w:val="single" w:sz="4" w:space="0" w:color="auto"/>
              <w:right w:val="single" w:sz="4" w:space="0" w:color="D9D9D9" w:themeColor="background1" w:themeShade="D9"/>
            </w:tcBorders>
            <w:shd w:val="clear" w:color="auto" w:fill="auto"/>
          </w:tcPr>
          <w:p w14:paraId="1A611DEE" w14:textId="4EF14C2D" w:rsidR="00833E34" w:rsidRPr="00AA1A09" w:rsidRDefault="00833E34" w:rsidP="00833E34">
            <w:pPr>
              <w:spacing w:line="360" w:lineRule="auto"/>
              <w:jc w:val="right"/>
              <w:rPr>
                <w:rFonts w:ascii="Arial" w:hAnsi="Arial" w:cs="Arial"/>
                <w:sz w:val="20"/>
                <w:szCs w:val="20"/>
              </w:rPr>
            </w:pPr>
            <w:r w:rsidRPr="00AA1A09">
              <w:rPr>
                <w:rFonts w:ascii="Arial" w:hAnsi="Arial" w:cs="Arial"/>
                <w:sz w:val="20"/>
                <w:szCs w:val="20"/>
              </w:rPr>
              <w:t>4,890,609.84</w:t>
            </w:r>
          </w:p>
        </w:tc>
        <w:tc>
          <w:tcPr>
            <w:tcW w:w="1701" w:type="dxa"/>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auto"/>
          </w:tcPr>
          <w:p w14:paraId="1AC5F986" w14:textId="6D95CA45" w:rsidR="00833E34" w:rsidRPr="00AA1A09" w:rsidRDefault="00833E34" w:rsidP="00833E34">
            <w:pPr>
              <w:spacing w:line="360" w:lineRule="auto"/>
              <w:ind w:right="34"/>
              <w:jc w:val="right"/>
              <w:rPr>
                <w:rFonts w:ascii="Arial" w:hAnsi="Arial" w:cs="Arial"/>
                <w:sz w:val="20"/>
                <w:szCs w:val="20"/>
              </w:rPr>
            </w:pPr>
            <w:r w:rsidRPr="00AA1A09">
              <w:rPr>
                <w:rFonts w:ascii="Arial" w:hAnsi="Arial" w:cs="Arial"/>
                <w:sz w:val="20"/>
                <w:szCs w:val="20"/>
              </w:rPr>
              <w:t>4,890,609.84</w:t>
            </w:r>
          </w:p>
        </w:tc>
        <w:tc>
          <w:tcPr>
            <w:tcW w:w="1559" w:type="dxa"/>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auto"/>
          </w:tcPr>
          <w:p w14:paraId="380236CA" w14:textId="39CDFA9C" w:rsidR="00833E34" w:rsidRPr="00AA1A09" w:rsidRDefault="00833E34" w:rsidP="00833E34">
            <w:pPr>
              <w:spacing w:line="360" w:lineRule="auto"/>
              <w:ind w:right="35"/>
              <w:jc w:val="right"/>
              <w:rPr>
                <w:rFonts w:ascii="Arial" w:hAnsi="Arial" w:cs="Arial"/>
                <w:sz w:val="20"/>
                <w:szCs w:val="20"/>
              </w:rPr>
            </w:pPr>
            <w:r w:rsidRPr="00AA1A09">
              <w:rPr>
                <w:rFonts w:ascii="Arial" w:hAnsi="Arial" w:cs="Arial"/>
                <w:sz w:val="20"/>
                <w:szCs w:val="20"/>
              </w:rPr>
              <w:t>0.00</w:t>
            </w:r>
          </w:p>
        </w:tc>
        <w:tc>
          <w:tcPr>
            <w:tcW w:w="1667" w:type="dxa"/>
            <w:gridSpan w:val="2"/>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auto"/>
          </w:tcPr>
          <w:p w14:paraId="47FCA432" w14:textId="7E52CD04" w:rsidR="00833E34" w:rsidRPr="00AA1A09" w:rsidRDefault="00833E34" w:rsidP="00833E34">
            <w:pPr>
              <w:spacing w:line="360" w:lineRule="auto"/>
              <w:ind w:right="35"/>
              <w:jc w:val="right"/>
              <w:rPr>
                <w:rFonts w:ascii="Arial" w:hAnsi="Arial" w:cs="Arial"/>
                <w:sz w:val="20"/>
                <w:szCs w:val="20"/>
              </w:rPr>
            </w:pPr>
            <w:r w:rsidRPr="00AA1A09">
              <w:rPr>
                <w:rFonts w:ascii="Arial" w:hAnsi="Arial" w:cs="Arial"/>
                <w:sz w:val="20"/>
                <w:szCs w:val="20"/>
              </w:rPr>
              <w:t>0.00</w:t>
            </w:r>
          </w:p>
        </w:tc>
      </w:tr>
      <w:tr w:rsidR="00A623C4" w:rsidRPr="00AA1A09" w14:paraId="0B0B2F39" w14:textId="77777777" w:rsidTr="00E73C20">
        <w:trPr>
          <w:trHeight w:val="3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A4771D9" w14:textId="77777777" w:rsidR="00A623C4" w:rsidRPr="00AA1A09" w:rsidRDefault="00A623C4" w:rsidP="00B73486">
            <w:pPr>
              <w:spacing w:line="276" w:lineRule="auto"/>
              <w:ind w:right="141"/>
              <w:jc w:val="right"/>
              <w:rPr>
                <w:rFonts w:ascii="Arial" w:hAnsi="Arial" w:cs="Arial"/>
                <w:b/>
                <w:sz w:val="20"/>
                <w:szCs w:val="20"/>
              </w:rPr>
            </w:pPr>
            <w:r w:rsidRPr="00AA1A09">
              <w:rPr>
                <w:rFonts w:ascii="Arial" w:hAnsi="Arial" w:cs="Arial"/>
                <w:b/>
                <w:sz w:val="20"/>
                <w:szCs w:val="20"/>
              </w:rPr>
              <w:t>Totales</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1E73C04" w14:textId="05313D25" w:rsidR="00A623C4" w:rsidRPr="00AA1A09" w:rsidRDefault="005E4262" w:rsidP="00833E34">
            <w:pPr>
              <w:spacing w:line="276" w:lineRule="auto"/>
              <w:jc w:val="right"/>
              <w:rPr>
                <w:rFonts w:ascii="Arial" w:hAnsi="Arial" w:cs="Arial"/>
                <w:b/>
                <w:sz w:val="20"/>
                <w:szCs w:val="20"/>
              </w:rPr>
            </w:pPr>
            <w:r w:rsidRPr="00AA1A09">
              <w:rPr>
                <w:rFonts w:ascii="Arial" w:hAnsi="Arial" w:cs="Arial"/>
                <w:b/>
                <w:bCs/>
                <w:color w:val="000000"/>
                <w:sz w:val="20"/>
                <w:szCs w:val="20"/>
                <w:lang w:eastAsia="es-MX"/>
              </w:rPr>
              <w:t>$</w:t>
            </w:r>
            <w:r w:rsidR="00EA35AF" w:rsidRPr="00AA1A09">
              <w:rPr>
                <w:rFonts w:ascii="Arial" w:hAnsi="Arial" w:cs="Arial"/>
                <w:b/>
                <w:bCs/>
                <w:color w:val="000000"/>
                <w:sz w:val="20"/>
                <w:szCs w:val="20"/>
                <w:lang w:eastAsia="es-MX"/>
              </w:rPr>
              <w:t>5,055,504.83</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4EF64968" w14:textId="6B99DD22" w:rsidR="00A623C4" w:rsidRPr="00AA1A09" w:rsidRDefault="00EA35AF" w:rsidP="00833E34">
            <w:pPr>
              <w:spacing w:line="276" w:lineRule="auto"/>
              <w:ind w:right="34"/>
              <w:jc w:val="right"/>
              <w:rPr>
                <w:rFonts w:ascii="Arial" w:hAnsi="Arial" w:cs="Arial"/>
                <w:b/>
                <w:sz w:val="20"/>
                <w:szCs w:val="20"/>
              </w:rPr>
            </w:pPr>
            <w:r w:rsidRPr="00AA1A09">
              <w:rPr>
                <w:rFonts w:ascii="Arial" w:hAnsi="Arial" w:cs="Arial"/>
                <w:b/>
                <w:bCs/>
                <w:color w:val="000000"/>
                <w:sz w:val="20"/>
                <w:szCs w:val="20"/>
                <w:lang w:eastAsia="es-MX"/>
              </w:rPr>
              <w:t>$5,055,504.83</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596B009C" w14:textId="77777777" w:rsidR="00A623C4" w:rsidRPr="00AA1A09" w:rsidRDefault="00A623C4" w:rsidP="00833E34">
            <w:pPr>
              <w:spacing w:line="276" w:lineRule="auto"/>
              <w:ind w:right="35"/>
              <w:jc w:val="right"/>
              <w:rPr>
                <w:rFonts w:ascii="Arial" w:hAnsi="Arial" w:cs="Arial"/>
                <w:b/>
                <w:bCs/>
                <w:color w:val="000000"/>
                <w:sz w:val="20"/>
                <w:szCs w:val="20"/>
                <w:lang w:eastAsia="es-MX"/>
              </w:rPr>
            </w:pPr>
            <w:r w:rsidRPr="00AA1A09">
              <w:rPr>
                <w:rFonts w:ascii="Arial" w:hAnsi="Arial" w:cs="Arial"/>
                <w:b/>
                <w:bCs/>
                <w:color w:val="000000"/>
                <w:sz w:val="20"/>
                <w:szCs w:val="20"/>
                <w:lang w:eastAsia="es-MX"/>
              </w:rPr>
              <w:t>$0.00</w:t>
            </w:r>
          </w:p>
        </w:tc>
        <w:tc>
          <w:tcPr>
            <w:tcW w:w="1667" w:type="dxa"/>
            <w:gridSpan w:val="2"/>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90334BD" w14:textId="4B4B064A" w:rsidR="00A623C4" w:rsidRPr="00AA1A09" w:rsidRDefault="005E4262" w:rsidP="00833E34">
            <w:pPr>
              <w:spacing w:line="276" w:lineRule="auto"/>
              <w:ind w:right="35"/>
              <w:jc w:val="right"/>
              <w:rPr>
                <w:rFonts w:ascii="Arial" w:hAnsi="Arial" w:cs="Arial"/>
                <w:b/>
                <w:bCs/>
                <w:color w:val="000000"/>
                <w:sz w:val="20"/>
                <w:szCs w:val="20"/>
                <w:lang w:eastAsia="es-MX"/>
              </w:rPr>
            </w:pPr>
            <w:r w:rsidRPr="00AA1A09">
              <w:rPr>
                <w:rFonts w:ascii="Arial" w:hAnsi="Arial" w:cs="Arial"/>
                <w:b/>
                <w:bCs/>
                <w:color w:val="000000"/>
                <w:sz w:val="20"/>
                <w:szCs w:val="20"/>
                <w:lang w:eastAsia="es-MX"/>
              </w:rPr>
              <w:t>$</w:t>
            </w:r>
            <w:r w:rsidR="00EA35AF" w:rsidRPr="00AA1A09">
              <w:rPr>
                <w:rFonts w:ascii="Arial" w:hAnsi="Arial" w:cs="Arial"/>
                <w:b/>
                <w:bCs/>
                <w:color w:val="000000"/>
                <w:sz w:val="20"/>
                <w:szCs w:val="20"/>
                <w:lang w:eastAsia="es-MX"/>
              </w:rPr>
              <w:t>0.00</w:t>
            </w:r>
          </w:p>
        </w:tc>
      </w:tr>
    </w:tbl>
    <w:p w14:paraId="6CCC56CC" w14:textId="77777777" w:rsidR="00A90F50" w:rsidRDefault="00A90F50" w:rsidP="00B73486">
      <w:pPr>
        <w:tabs>
          <w:tab w:val="left" w:pos="426"/>
        </w:tabs>
        <w:spacing w:line="360" w:lineRule="auto"/>
        <w:ind w:right="141"/>
        <w:jc w:val="both"/>
        <w:rPr>
          <w:rFonts w:ascii="Arial" w:hAnsi="Arial" w:cs="Arial"/>
          <w:b/>
          <w:bCs/>
          <w:szCs w:val="28"/>
        </w:rPr>
      </w:pPr>
    </w:p>
    <w:p w14:paraId="1C43053A" w14:textId="66808DC9" w:rsidR="00E355F4" w:rsidRDefault="00E355F4" w:rsidP="00B73486">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B2108D" w:rsidRDefault="00FD716A" w:rsidP="00B73486">
      <w:pPr>
        <w:tabs>
          <w:tab w:val="left" w:pos="426"/>
        </w:tabs>
        <w:spacing w:line="360" w:lineRule="auto"/>
        <w:ind w:right="141"/>
        <w:jc w:val="both"/>
        <w:rPr>
          <w:rFonts w:ascii="Arial" w:hAnsi="Arial" w:cs="Arial"/>
          <w:b/>
          <w:bCs/>
        </w:rPr>
      </w:pPr>
    </w:p>
    <w:p w14:paraId="79D136E9" w14:textId="3325841D" w:rsidR="00EE2C44" w:rsidRDefault="006757A6" w:rsidP="00B73486">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w:t>
      </w:r>
      <w:r w:rsidR="00A330C6">
        <w:rPr>
          <w:rFonts w:ascii="Arial" w:hAnsi="Arial" w:cs="Arial"/>
          <w:szCs w:val="28"/>
        </w:rPr>
        <w:lastRenderedPageBreak/>
        <w:t>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529169B4" w14:textId="77777777" w:rsidR="00B2108D" w:rsidRPr="00B2108D" w:rsidRDefault="00B2108D" w:rsidP="00B73486">
      <w:pPr>
        <w:tabs>
          <w:tab w:val="left" w:pos="426"/>
        </w:tabs>
        <w:spacing w:line="360" w:lineRule="auto"/>
        <w:ind w:right="141"/>
        <w:jc w:val="both"/>
        <w:rPr>
          <w:rFonts w:ascii="Arial" w:hAnsi="Arial" w:cs="Arial"/>
        </w:rPr>
      </w:pPr>
    </w:p>
    <w:p w14:paraId="411201E8" w14:textId="00E683E0" w:rsidR="00F16F5B" w:rsidRDefault="00E355F4" w:rsidP="00B73486">
      <w:pPr>
        <w:tabs>
          <w:tab w:val="left" w:pos="426"/>
        </w:tabs>
        <w:spacing w:line="360" w:lineRule="auto"/>
        <w:ind w:right="141"/>
        <w:jc w:val="both"/>
        <w:rPr>
          <w:rFonts w:ascii="Arial" w:hAnsi="Arial" w:cs="Arial"/>
          <w:szCs w:val="28"/>
        </w:rPr>
      </w:pPr>
      <w:r>
        <w:rPr>
          <w:rFonts w:ascii="Arial" w:hAnsi="Arial" w:cs="Arial"/>
          <w:szCs w:val="28"/>
        </w:rPr>
        <w:t>Dichas justificaciones y aclaraciones s</w:t>
      </w:r>
      <w:r w:rsidR="005701D7">
        <w:rPr>
          <w:rFonts w:ascii="Arial" w:hAnsi="Arial" w:cs="Arial"/>
          <w:szCs w:val="28"/>
        </w:rPr>
        <w:t>e encuentran descritas en la</w:t>
      </w:r>
      <w:r w:rsidR="00B97B61">
        <w:rPr>
          <w:rFonts w:ascii="Arial" w:hAnsi="Arial" w:cs="Arial"/>
          <w:szCs w:val="28"/>
        </w:rPr>
        <w:t>s</w:t>
      </w:r>
      <w:r w:rsidR="005701D7">
        <w:rPr>
          <w:rFonts w:ascii="Arial" w:hAnsi="Arial" w:cs="Arial"/>
          <w:szCs w:val="28"/>
        </w:rPr>
        <w:t xml:space="preserve"> Cé</w:t>
      </w:r>
      <w:r>
        <w:rPr>
          <w:rFonts w:ascii="Arial" w:hAnsi="Arial" w:cs="Arial"/>
          <w:szCs w:val="28"/>
        </w:rPr>
        <w:t>dula</w:t>
      </w:r>
      <w:r w:rsidR="00B97B61">
        <w:rPr>
          <w:rFonts w:ascii="Arial" w:hAnsi="Arial" w:cs="Arial"/>
          <w:szCs w:val="28"/>
        </w:rPr>
        <w:t>s</w:t>
      </w:r>
      <w:r>
        <w:rPr>
          <w:rFonts w:ascii="Arial" w:hAnsi="Arial" w:cs="Arial"/>
          <w:szCs w:val="28"/>
        </w:rPr>
        <w:t xml:space="preserve"> de Acciones y Recomendaciones Emitidas que se encuentra</w:t>
      </w:r>
      <w:r w:rsidR="00E67D5C">
        <w:rPr>
          <w:rFonts w:ascii="Arial" w:hAnsi="Arial" w:cs="Arial"/>
          <w:szCs w:val="28"/>
        </w:rPr>
        <w:t>n</w:t>
      </w:r>
      <w:r w:rsidR="00C82E64">
        <w:rPr>
          <w:rFonts w:ascii="Arial" w:hAnsi="Arial" w:cs="Arial"/>
          <w:szCs w:val="28"/>
        </w:rPr>
        <w:t xml:space="preserve"> </w:t>
      </w:r>
      <w:r>
        <w:rPr>
          <w:rFonts w:ascii="Arial" w:hAnsi="Arial" w:cs="Arial"/>
          <w:szCs w:val="28"/>
        </w:rPr>
        <w:t xml:space="preserve">contenidas </w:t>
      </w:r>
      <w:r w:rsidR="003C267F">
        <w:rPr>
          <w:rFonts w:ascii="Arial" w:hAnsi="Arial" w:cs="Arial"/>
          <w:szCs w:val="28"/>
        </w:rPr>
        <w:t xml:space="preserve">por tipo de auditoría </w:t>
      </w:r>
      <w:r>
        <w:rPr>
          <w:rFonts w:ascii="Arial" w:hAnsi="Arial" w:cs="Arial"/>
          <w:szCs w:val="28"/>
        </w:rPr>
        <w:t>en el Apéndice</w:t>
      </w:r>
      <w:r w:rsidR="005710B8">
        <w:rPr>
          <w:rFonts w:ascii="Arial" w:hAnsi="Arial" w:cs="Arial"/>
          <w:szCs w:val="28"/>
        </w:rPr>
        <w:t xml:space="preserve"> 1</w:t>
      </w:r>
      <w:r>
        <w:rPr>
          <w:rFonts w:ascii="Arial" w:hAnsi="Arial" w:cs="Arial"/>
          <w:szCs w:val="28"/>
        </w:rPr>
        <w:t xml:space="preserve"> de este documento.</w:t>
      </w:r>
    </w:p>
    <w:p w14:paraId="2C885870" w14:textId="7385D0F2" w:rsidR="00E355F4" w:rsidRDefault="00E355F4" w:rsidP="00B73486">
      <w:pPr>
        <w:tabs>
          <w:tab w:val="left" w:pos="426"/>
        </w:tabs>
        <w:spacing w:line="360" w:lineRule="auto"/>
        <w:ind w:right="141"/>
        <w:jc w:val="both"/>
        <w:rPr>
          <w:rFonts w:ascii="Arial" w:hAnsi="Arial" w:cs="Arial"/>
          <w:sz w:val="18"/>
          <w:szCs w:val="18"/>
        </w:rPr>
      </w:pPr>
    </w:p>
    <w:p w14:paraId="6FADCD98" w14:textId="77777777" w:rsidR="00B2108D" w:rsidRPr="00B2108D" w:rsidRDefault="00B2108D" w:rsidP="00B73486">
      <w:pPr>
        <w:tabs>
          <w:tab w:val="left" w:pos="426"/>
        </w:tabs>
        <w:spacing w:line="360" w:lineRule="auto"/>
        <w:ind w:right="141"/>
        <w:jc w:val="both"/>
        <w:rPr>
          <w:rFonts w:ascii="Arial" w:hAnsi="Arial" w:cs="Arial"/>
          <w:sz w:val="18"/>
          <w:szCs w:val="18"/>
        </w:rPr>
      </w:pPr>
    </w:p>
    <w:bookmarkEnd w:id="16"/>
    <w:p w14:paraId="6424A28D" w14:textId="2302CD9D" w:rsidR="00112484" w:rsidRDefault="00B93E82" w:rsidP="00B73486">
      <w:pPr>
        <w:tabs>
          <w:tab w:val="left" w:pos="2160"/>
        </w:tabs>
        <w:spacing w:line="360" w:lineRule="auto"/>
        <w:ind w:right="141"/>
        <w:jc w:val="both"/>
        <w:rPr>
          <w:rFonts w:ascii="Arial" w:hAnsi="Arial" w:cs="Arial"/>
          <w:b/>
        </w:rPr>
      </w:pPr>
      <w:r>
        <w:rPr>
          <w:rFonts w:ascii="Arial" w:hAnsi="Arial" w:cs="Arial"/>
          <w:b/>
        </w:rPr>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024164">
        <w:rPr>
          <w:rFonts w:ascii="Arial" w:hAnsi="Arial" w:cs="Arial"/>
          <w:b/>
        </w:rPr>
        <w:t>DICTÁMENES</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Pr="00B2108D" w:rsidRDefault="00BE445E" w:rsidP="00B73486">
      <w:pPr>
        <w:tabs>
          <w:tab w:val="left" w:pos="2160"/>
        </w:tabs>
        <w:spacing w:line="360" w:lineRule="auto"/>
        <w:ind w:right="141"/>
        <w:jc w:val="both"/>
        <w:rPr>
          <w:rFonts w:ascii="Arial" w:hAnsi="Arial" w:cs="Arial"/>
          <w:b/>
          <w:sz w:val="14"/>
          <w:szCs w:val="14"/>
        </w:rPr>
      </w:pPr>
    </w:p>
    <w:p w14:paraId="2B6D22B8" w14:textId="204380AC" w:rsidR="00BC7D12" w:rsidRPr="00E024A3" w:rsidRDefault="00BC7D12" w:rsidP="00B73486">
      <w:pPr>
        <w:spacing w:line="360" w:lineRule="auto"/>
        <w:ind w:right="141"/>
        <w:jc w:val="both"/>
        <w:rPr>
          <w:rFonts w:ascii="Arial" w:hAnsi="Arial" w:cs="Arial"/>
        </w:rPr>
      </w:pPr>
      <w:r w:rsidRPr="00E024A3">
        <w:rPr>
          <w:rFonts w:ascii="Arial" w:hAnsi="Arial" w:cs="Arial"/>
        </w:rPr>
        <w:t xml:space="preserve">El presente dictamen se </w:t>
      </w:r>
      <w:r w:rsidRPr="00900330">
        <w:rPr>
          <w:rFonts w:ascii="Arial" w:hAnsi="Arial" w:cs="Arial"/>
        </w:rPr>
        <w:t xml:space="preserve">emite el </w:t>
      </w:r>
      <w:r w:rsidR="00900330" w:rsidRPr="00900330">
        <w:rPr>
          <w:rFonts w:ascii="Arial" w:hAnsi="Arial" w:cs="Arial"/>
        </w:rPr>
        <w:t>10</w:t>
      </w:r>
      <w:r w:rsidR="007757D7" w:rsidRPr="00900330">
        <w:rPr>
          <w:rFonts w:ascii="Arial" w:hAnsi="Arial" w:cs="Arial"/>
        </w:rPr>
        <w:t xml:space="preserve"> de febrero de 202</w:t>
      </w:r>
      <w:r w:rsidR="00900330" w:rsidRPr="00900330">
        <w:rPr>
          <w:rFonts w:ascii="Arial" w:hAnsi="Arial" w:cs="Arial"/>
        </w:rPr>
        <w:t>3</w:t>
      </w:r>
      <w:r w:rsidRPr="00900330">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5C69A9">
        <w:rPr>
          <w:rFonts w:ascii="Arial" w:hAnsi="Arial" w:cs="Arial"/>
        </w:rPr>
        <w:t>2021</w:t>
      </w:r>
      <w:r w:rsidRPr="00E024A3">
        <w:rPr>
          <w:rFonts w:ascii="Arial" w:hAnsi="Arial" w:cs="Arial"/>
        </w:rPr>
        <w:t>, formulados, integrados y presentados por</w:t>
      </w:r>
      <w:r w:rsidR="002A3162">
        <w:rPr>
          <w:rFonts w:ascii="Arial" w:hAnsi="Arial" w:cs="Arial"/>
        </w:rPr>
        <w:t xml:space="preserve"> la</w:t>
      </w:r>
      <w:r w:rsidRPr="00E024A3">
        <w:rPr>
          <w:rFonts w:ascii="Arial" w:hAnsi="Arial" w:cs="Arial"/>
        </w:rPr>
        <w:t xml:space="preserve"> </w:t>
      </w:r>
      <w:r w:rsidR="00AB2875">
        <w:rPr>
          <w:rFonts w:ascii="Arial" w:hAnsi="Arial" w:cs="Arial"/>
          <w:b/>
          <w:bCs/>
        </w:rPr>
        <w:t>Agencia de Proyectos Estratégicos del Estado de Quintana Roo</w:t>
      </w:r>
      <w:r>
        <w:rPr>
          <w:rFonts w:ascii="Arial" w:hAnsi="Arial" w:cs="Arial"/>
          <w:b/>
          <w:bCs/>
        </w:rPr>
        <w:t>.</w:t>
      </w:r>
    </w:p>
    <w:p w14:paraId="14D9C27D" w14:textId="77777777" w:rsidR="00BC7D12" w:rsidRPr="00B2108D" w:rsidRDefault="00BC7D12" w:rsidP="00B73486">
      <w:pPr>
        <w:spacing w:line="360" w:lineRule="auto"/>
        <w:ind w:right="141"/>
        <w:jc w:val="both"/>
        <w:rPr>
          <w:rFonts w:ascii="Arial" w:hAnsi="Arial" w:cs="Arial"/>
          <w:sz w:val="14"/>
          <w:szCs w:val="14"/>
        </w:rPr>
      </w:pPr>
    </w:p>
    <w:p w14:paraId="0107007E" w14:textId="77777777" w:rsidR="00BC7D12" w:rsidRPr="00E024A3" w:rsidRDefault="00BC7D12" w:rsidP="00B73486">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4AA9567" w14:textId="77777777" w:rsidR="00BC7D12" w:rsidRPr="00BF48EE" w:rsidRDefault="00BC7D12" w:rsidP="00B73486">
      <w:pPr>
        <w:spacing w:line="360" w:lineRule="auto"/>
        <w:ind w:right="141"/>
        <w:jc w:val="both"/>
        <w:rPr>
          <w:rFonts w:ascii="Arial" w:hAnsi="Arial" w:cs="Arial"/>
          <w:sz w:val="16"/>
          <w:szCs w:val="16"/>
        </w:rPr>
      </w:pPr>
    </w:p>
    <w:p w14:paraId="1F3249AB" w14:textId="77777777" w:rsidR="00BC7D12" w:rsidRDefault="00BC7D12" w:rsidP="00B73486">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w:t>
      </w:r>
      <w:r w:rsidRPr="00B63673">
        <w:rPr>
          <w:rFonts w:ascii="Arial" w:hAnsi="Arial" w:cs="Arial"/>
        </w:rPr>
        <w:lastRenderedPageBreak/>
        <w:t>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9106068" w14:textId="77777777" w:rsidR="00A623C4" w:rsidRPr="00B2108D" w:rsidRDefault="00A623C4" w:rsidP="00B73486">
      <w:pPr>
        <w:spacing w:line="360" w:lineRule="auto"/>
        <w:ind w:right="141"/>
        <w:jc w:val="both"/>
        <w:rPr>
          <w:rFonts w:ascii="Arial" w:hAnsi="Arial" w:cs="Arial"/>
          <w:b/>
          <w:bCs/>
          <w:sz w:val="20"/>
          <w:szCs w:val="20"/>
        </w:rPr>
      </w:pPr>
    </w:p>
    <w:p w14:paraId="7F3A2445" w14:textId="0F783DB0" w:rsidR="00BC7D12" w:rsidRPr="00E024A3" w:rsidRDefault="00BC7D12" w:rsidP="00B73486">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4D0F0C">
        <w:rPr>
          <w:rFonts w:ascii="Arial" w:hAnsi="Arial" w:cs="Arial"/>
        </w:rPr>
        <w:t xml:space="preserve">número </w:t>
      </w:r>
      <w:r w:rsidR="00A623C4" w:rsidRPr="004D0F0C">
        <w:rPr>
          <w:rFonts w:ascii="Arial" w:hAnsi="Arial" w:cs="Arial"/>
          <w:b/>
          <w:bCs/>
        </w:rPr>
        <w:t>2</w:t>
      </w:r>
      <w:r w:rsidR="004D0F0C" w:rsidRPr="004D0F0C">
        <w:rPr>
          <w:rFonts w:ascii="Arial" w:hAnsi="Arial" w:cs="Arial"/>
          <w:b/>
          <w:bCs/>
        </w:rPr>
        <w:t>1</w:t>
      </w:r>
      <w:r w:rsidR="00733F26" w:rsidRPr="004D0F0C">
        <w:rPr>
          <w:rFonts w:ascii="Arial" w:hAnsi="Arial" w:cs="Arial"/>
          <w:b/>
          <w:bCs/>
        </w:rPr>
        <w:t>-AEMF-E-GOB-</w:t>
      </w:r>
      <w:r w:rsidR="00BD3281" w:rsidRPr="004D0F0C">
        <w:rPr>
          <w:rFonts w:ascii="Arial" w:hAnsi="Arial" w:cs="Arial"/>
          <w:b/>
          <w:bCs/>
        </w:rPr>
        <w:t>02</w:t>
      </w:r>
      <w:r w:rsidR="004D0F0C" w:rsidRPr="004D0F0C">
        <w:rPr>
          <w:rFonts w:ascii="Arial" w:hAnsi="Arial" w:cs="Arial"/>
          <w:b/>
          <w:bCs/>
        </w:rPr>
        <w:t>2</w:t>
      </w:r>
      <w:r w:rsidR="00733F26" w:rsidRPr="004D0F0C">
        <w:rPr>
          <w:rFonts w:ascii="Arial" w:hAnsi="Arial" w:cs="Arial"/>
          <w:b/>
          <w:bCs/>
        </w:rPr>
        <w:t>-</w:t>
      </w:r>
      <w:r w:rsidR="00BD3281" w:rsidRPr="004D0F0C">
        <w:rPr>
          <w:rFonts w:ascii="Arial" w:hAnsi="Arial" w:cs="Arial"/>
          <w:b/>
          <w:bCs/>
        </w:rPr>
        <w:t>03</w:t>
      </w:r>
      <w:r w:rsidR="004D0F0C" w:rsidRPr="004D0F0C">
        <w:rPr>
          <w:rFonts w:ascii="Arial" w:hAnsi="Arial" w:cs="Arial"/>
          <w:b/>
          <w:bCs/>
        </w:rPr>
        <w:t>9</w:t>
      </w:r>
      <w:r w:rsidR="00A623C4" w:rsidRPr="001877A0">
        <w:rPr>
          <w:rFonts w:ascii="Arial" w:hAnsi="Arial" w:cs="Arial"/>
        </w:rPr>
        <w:t>, denominada ”Auditoría de Cumplimiento Financiero de Ingresos y Otros Beneficios”</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Ingresos para el ejercicio fiscal </w:t>
      </w:r>
      <w:r w:rsidR="005C69A9">
        <w:rPr>
          <w:rFonts w:ascii="Arial" w:hAnsi="Arial" w:cs="Arial"/>
        </w:rPr>
        <w:t>2021</w:t>
      </w:r>
      <w:r w:rsidR="00A623C4" w:rsidRPr="001877A0">
        <w:rPr>
          <w:rFonts w:ascii="Arial" w:hAnsi="Arial" w:cs="Arial"/>
        </w:rPr>
        <w:t>, y demás disposiciones legales aplicables, en cuanto a los ingresos, incluyendo la revisión del manejo y la custodia de recursos públicos estatales</w:t>
      </w:r>
      <w:r w:rsidR="00BD3281">
        <w:rPr>
          <w:rFonts w:ascii="Arial" w:hAnsi="Arial" w:cs="Arial"/>
        </w:rPr>
        <w:t xml:space="preserve"> y propios</w:t>
      </w:r>
      <w:r w:rsidR="00A623C4" w:rsidRPr="001877A0">
        <w:rPr>
          <w:rFonts w:ascii="Arial" w:hAnsi="Arial" w:cs="Arial"/>
        </w:rPr>
        <w:t>,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BD3281">
        <w:rPr>
          <w:rFonts w:ascii="Arial" w:hAnsi="Arial" w:cs="Arial"/>
        </w:rPr>
        <w:t xml:space="preserve">la </w:t>
      </w:r>
      <w:r w:rsidR="00AB2875">
        <w:rPr>
          <w:rFonts w:ascii="Arial" w:hAnsi="Arial" w:cs="Arial"/>
          <w:b/>
          <w:bCs/>
        </w:rPr>
        <w:t>Agencia de Proyectos Estratégicos del Estado de Quintana Roo</w:t>
      </w:r>
      <w:r w:rsidRPr="00E024A3">
        <w:rPr>
          <w:rFonts w:ascii="Arial" w:hAnsi="Arial" w:cs="Arial"/>
        </w:rPr>
        <w:t xml:space="preserve"> cumplió con las disposiciones legales y normativas que son aplicables en la materia</w:t>
      </w:r>
      <w:r w:rsidR="00A41EBA">
        <w:rPr>
          <w:rFonts w:ascii="Arial" w:hAnsi="Arial" w:cs="Arial"/>
        </w:rPr>
        <w:t>.</w:t>
      </w:r>
    </w:p>
    <w:p w14:paraId="6EEE9B5B" w14:textId="119D5D35" w:rsidR="00A623C4" w:rsidRPr="00B2108D" w:rsidRDefault="00A623C4" w:rsidP="00B73486">
      <w:pPr>
        <w:spacing w:line="360" w:lineRule="auto"/>
        <w:ind w:right="141"/>
        <w:jc w:val="both"/>
        <w:rPr>
          <w:rFonts w:ascii="Arial" w:hAnsi="Arial" w:cs="Arial"/>
          <w:sz w:val="20"/>
          <w:szCs w:val="20"/>
        </w:rPr>
      </w:pPr>
    </w:p>
    <w:p w14:paraId="136EAD94" w14:textId="4671DCB7" w:rsidR="00BC7D12" w:rsidRPr="00E024A3" w:rsidRDefault="00BC7D12" w:rsidP="00B73486">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núme</w:t>
      </w:r>
      <w:r w:rsidRPr="004D0F0C">
        <w:rPr>
          <w:rFonts w:ascii="Arial" w:hAnsi="Arial" w:cs="Arial"/>
        </w:rPr>
        <w:t xml:space="preserve">ro </w:t>
      </w:r>
      <w:r w:rsidR="00A623C4" w:rsidRPr="004D0F0C">
        <w:rPr>
          <w:rFonts w:ascii="Arial" w:hAnsi="Arial" w:cs="Arial"/>
          <w:b/>
        </w:rPr>
        <w:t>2</w:t>
      </w:r>
      <w:r w:rsidR="004D0F0C" w:rsidRPr="004D0F0C">
        <w:rPr>
          <w:rFonts w:ascii="Arial" w:hAnsi="Arial" w:cs="Arial"/>
          <w:b/>
        </w:rPr>
        <w:t>1</w:t>
      </w:r>
      <w:r w:rsidR="00733F26" w:rsidRPr="004D0F0C">
        <w:rPr>
          <w:rFonts w:ascii="Arial" w:hAnsi="Arial" w:cs="Arial"/>
          <w:b/>
          <w:bCs/>
        </w:rPr>
        <w:t>-AEMF-E-GOB-</w:t>
      </w:r>
      <w:r w:rsidR="00BD3281" w:rsidRPr="004D0F0C">
        <w:rPr>
          <w:rFonts w:ascii="Arial" w:hAnsi="Arial" w:cs="Arial"/>
          <w:b/>
          <w:bCs/>
        </w:rPr>
        <w:t>02</w:t>
      </w:r>
      <w:r w:rsidR="004D0F0C" w:rsidRPr="004D0F0C">
        <w:rPr>
          <w:rFonts w:ascii="Arial" w:hAnsi="Arial" w:cs="Arial"/>
          <w:b/>
          <w:bCs/>
        </w:rPr>
        <w:t>2</w:t>
      </w:r>
      <w:r w:rsidR="00A623C4" w:rsidRPr="004D0F0C">
        <w:rPr>
          <w:rFonts w:ascii="Arial" w:hAnsi="Arial" w:cs="Arial"/>
          <w:b/>
          <w:bCs/>
        </w:rPr>
        <w:t>-</w:t>
      </w:r>
      <w:r w:rsidR="00BD3281" w:rsidRPr="004D0F0C">
        <w:rPr>
          <w:rFonts w:ascii="Arial" w:hAnsi="Arial" w:cs="Arial"/>
          <w:b/>
          <w:bCs/>
        </w:rPr>
        <w:t>0</w:t>
      </w:r>
      <w:r w:rsidR="004D0F0C" w:rsidRPr="004D0F0C">
        <w:rPr>
          <w:rFonts w:ascii="Arial" w:hAnsi="Arial" w:cs="Arial"/>
          <w:b/>
          <w:bCs/>
        </w:rPr>
        <w:t>40</w:t>
      </w:r>
      <w:r w:rsidR="00A623C4" w:rsidRPr="001877A0">
        <w:rPr>
          <w:rFonts w:ascii="Arial" w:hAnsi="Arial" w:cs="Arial"/>
        </w:rPr>
        <w:t>, denominada “Auditoría de Cumplimiento Financiero de Gastos y Otras Pérdidas”</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Egresos para el ejercicio fiscal </w:t>
      </w:r>
      <w:r w:rsidR="005C69A9">
        <w:rPr>
          <w:rFonts w:ascii="Arial" w:hAnsi="Arial" w:cs="Arial"/>
        </w:rPr>
        <w:t>2021</w:t>
      </w:r>
      <w:r w:rsidR="00A623C4" w:rsidRPr="001877A0">
        <w:rPr>
          <w:rFonts w:ascii="Arial" w:hAnsi="Arial" w:cs="Arial"/>
        </w:rPr>
        <w:t xml:space="preserve">, y demás disposiciones legales aplicables, en cuanto al gasto público, incluyendo la revisión del </w:t>
      </w:r>
      <w:r w:rsidR="00A623C4" w:rsidRPr="00253D28">
        <w:rPr>
          <w:rFonts w:ascii="Arial" w:hAnsi="Arial" w:cs="Arial"/>
        </w:rPr>
        <w:t xml:space="preserve">manejo, la custodia y la aplicación de recursos públicos </w:t>
      </w:r>
      <w:r w:rsidR="007757D7" w:rsidRPr="00253D28">
        <w:rPr>
          <w:rFonts w:ascii="Arial" w:hAnsi="Arial" w:cs="Arial"/>
        </w:rPr>
        <w:t xml:space="preserve">propios y </w:t>
      </w:r>
      <w:r w:rsidR="00A623C4" w:rsidRPr="00253D28">
        <w:rPr>
          <w:rFonts w:ascii="Arial" w:hAnsi="Arial" w:cs="Arial"/>
        </w:rPr>
        <w:t>estatales,</w:t>
      </w:r>
      <w:r w:rsidR="00A623C4" w:rsidRPr="001877A0">
        <w:rPr>
          <w:rFonts w:ascii="Arial" w:hAnsi="Arial" w:cs="Arial"/>
        </w:rPr>
        <w:t xml:space="preserve"> así como de </w:t>
      </w:r>
      <w:r w:rsidR="00A623C4" w:rsidRPr="001877A0">
        <w:rPr>
          <w:rFonts w:ascii="Arial" w:hAnsi="Arial" w:cs="Arial"/>
        </w:rPr>
        <w:lastRenderedPageBreak/>
        <w:t>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00BD3281">
        <w:rPr>
          <w:rFonts w:ascii="Arial" w:hAnsi="Arial" w:cs="Arial"/>
        </w:rPr>
        <w:t>la</w:t>
      </w:r>
      <w:r w:rsidRPr="00E024A3">
        <w:rPr>
          <w:rFonts w:ascii="Arial" w:hAnsi="Arial" w:cs="Arial"/>
        </w:rPr>
        <w:t xml:space="preserve"> </w:t>
      </w:r>
      <w:r w:rsidR="00AB2875">
        <w:rPr>
          <w:rFonts w:ascii="Arial" w:hAnsi="Arial" w:cs="Arial"/>
          <w:b/>
          <w:bCs/>
        </w:rPr>
        <w:t>Agencia de Proyectos Estratégicos del Estado de Quintana Roo</w:t>
      </w:r>
      <w:r w:rsidRPr="00BC7D12">
        <w:rPr>
          <w:rFonts w:ascii="Arial" w:hAnsi="Arial" w:cs="Arial"/>
          <w:b/>
          <w:bCs/>
        </w:rPr>
        <w:t xml:space="preserve"> </w:t>
      </w:r>
      <w:r w:rsidRPr="00E024A3">
        <w:rPr>
          <w:rFonts w:ascii="Arial" w:hAnsi="Arial" w:cs="Arial"/>
        </w:rPr>
        <w:t>cumplió con las disposiciones legales y normativas que son aplicables en la materia</w:t>
      </w:r>
      <w:r w:rsidR="00C25309">
        <w:rPr>
          <w:rFonts w:ascii="Arial" w:hAnsi="Arial" w:cs="Arial"/>
        </w:rPr>
        <w:t>.</w:t>
      </w:r>
    </w:p>
    <w:p w14:paraId="06FB03BD" w14:textId="77777777" w:rsidR="00BC7D12" w:rsidRPr="00B2108D" w:rsidRDefault="00BC7D12" w:rsidP="00B73486">
      <w:pPr>
        <w:spacing w:line="360" w:lineRule="auto"/>
        <w:ind w:right="141"/>
        <w:jc w:val="both"/>
        <w:rPr>
          <w:rFonts w:ascii="Arial" w:hAnsi="Arial" w:cs="Arial"/>
        </w:rPr>
      </w:pPr>
    </w:p>
    <w:p w14:paraId="67B1CD3C" w14:textId="77777777" w:rsidR="00B97B61" w:rsidRDefault="00B97B61" w:rsidP="00B97B61">
      <w:pPr>
        <w:spacing w:line="360" w:lineRule="auto"/>
        <w:jc w:val="both"/>
        <w:rPr>
          <w:rFonts w:ascii="Arial" w:hAnsi="Arial" w:cs="Arial"/>
          <w:sz w:val="22"/>
          <w:szCs w:val="22"/>
        </w:rPr>
      </w:pPr>
      <w:r w:rsidRPr="00255099">
        <w:rPr>
          <w:rFonts w:ascii="Arial" w:hAnsi="Arial" w:cs="Arial"/>
        </w:rPr>
        <w:t xml:space="preserve">El Informe Individual de Auditoría quedará formalmente notificado al ente </w:t>
      </w:r>
      <w:proofErr w:type="spellStart"/>
      <w:r w:rsidRPr="00255099">
        <w:rPr>
          <w:rFonts w:ascii="Arial" w:hAnsi="Arial" w:cs="Arial"/>
        </w:rPr>
        <w:t>fiscalizado</w:t>
      </w:r>
      <w:proofErr w:type="spellEnd"/>
      <w:r w:rsidRPr="00255099">
        <w:rPr>
          <w:rFonts w:ascii="Arial" w:hAnsi="Arial" w:cs="Arial"/>
        </w:rPr>
        <w:t>, de acuerdo a la Ley de Fiscalización y Rendición de Cuentas del Estado de Quintana Roo, mediante el acta circunstanciada de término de auditoría, visita e inspección.</w:t>
      </w:r>
    </w:p>
    <w:p w14:paraId="06103025" w14:textId="7B47225A" w:rsidR="00A41EBA" w:rsidRDefault="00A41EBA" w:rsidP="00B73486">
      <w:pPr>
        <w:spacing w:line="360" w:lineRule="auto"/>
        <w:ind w:right="141"/>
        <w:jc w:val="both"/>
        <w:rPr>
          <w:rFonts w:ascii="Arial" w:hAnsi="Arial" w:cs="Arial"/>
        </w:rPr>
      </w:pPr>
    </w:p>
    <w:p w14:paraId="72FDC8CF" w14:textId="77777777" w:rsidR="00B2108D" w:rsidRPr="003B5C52" w:rsidRDefault="00B2108D" w:rsidP="00B73486">
      <w:pPr>
        <w:spacing w:line="360" w:lineRule="auto"/>
        <w:ind w:right="141"/>
        <w:jc w:val="both"/>
        <w:rPr>
          <w:rFonts w:ascii="Arial" w:hAnsi="Arial" w:cs="Arial"/>
        </w:rPr>
      </w:pPr>
    </w:p>
    <w:p w14:paraId="677EE363" w14:textId="77777777" w:rsidR="00F8399B" w:rsidRPr="003B5C52" w:rsidRDefault="00F8399B" w:rsidP="00B73486">
      <w:pPr>
        <w:spacing w:line="360" w:lineRule="auto"/>
        <w:ind w:right="141"/>
        <w:jc w:val="center"/>
        <w:rPr>
          <w:rFonts w:ascii="Arial" w:hAnsi="Arial" w:cs="Arial"/>
          <w:b/>
        </w:rPr>
      </w:pPr>
      <w:r w:rsidRPr="003B5C52">
        <w:rPr>
          <w:rFonts w:ascii="Arial" w:hAnsi="Arial" w:cs="Arial"/>
          <w:b/>
        </w:rPr>
        <w:t>EL AUDITOR SUPERIOR DEL ESTADO</w:t>
      </w:r>
    </w:p>
    <w:p w14:paraId="5E0C7744" w14:textId="723F546E" w:rsidR="00F8399B" w:rsidRDefault="00F8399B" w:rsidP="00B73486">
      <w:pPr>
        <w:spacing w:line="360" w:lineRule="auto"/>
        <w:ind w:right="141"/>
        <w:jc w:val="center"/>
        <w:rPr>
          <w:rFonts w:ascii="Arial" w:hAnsi="Arial" w:cs="Arial"/>
          <w:b/>
        </w:rPr>
      </w:pPr>
    </w:p>
    <w:p w14:paraId="0296E57E" w14:textId="1FCE9BB7" w:rsidR="006C0485" w:rsidRDefault="006C0485" w:rsidP="00B73486">
      <w:pPr>
        <w:spacing w:line="360" w:lineRule="auto"/>
        <w:ind w:right="141"/>
        <w:jc w:val="center"/>
        <w:rPr>
          <w:rFonts w:ascii="Arial" w:hAnsi="Arial" w:cs="Arial"/>
          <w:b/>
        </w:rPr>
      </w:pPr>
    </w:p>
    <w:p w14:paraId="543890E6" w14:textId="77777777" w:rsidR="006C0485" w:rsidRDefault="006C0485" w:rsidP="00B73486">
      <w:pPr>
        <w:spacing w:line="360" w:lineRule="auto"/>
        <w:ind w:right="141"/>
        <w:jc w:val="center"/>
        <w:rPr>
          <w:rFonts w:ascii="Arial" w:hAnsi="Arial" w:cs="Arial"/>
          <w:b/>
        </w:rPr>
      </w:pPr>
    </w:p>
    <w:p w14:paraId="0DACA4A1" w14:textId="77777777" w:rsidR="00B2108D" w:rsidRPr="003B5C52" w:rsidRDefault="00B2108D" w:rsidP="00B73486">
      <w:pPr>
        <w:spacing w:line="360" w:lineRule="auto"/>
        <w:ind w:right="141"/>
        <w:jc w:val="center"/>
        <w:rPr>
          <w:rFonts w:ascii="Arial" w:hAnsi="Arial" w:cs="Arial"/>
          <w:b/>
        </w:rPr>
      </w:pPr>
    </w:p>
    <w:p w14:paraId="3FC47548" w14:textId="6A1D4B8F" w:rsidR="008B4FC2" w:rsidRDefault="00B23523" w:rsidP="00B73486">
      <w:pPr>
        <w:spacing w:line="360" w:lineRule="auto"/>
        <w:ind w:right="141"/>
        <w:jc w:val="center"/>
        <w:rPr>
          <w:rFonts w:ascii="Arial" w:hAnsi="Arial" w:cs="Arial"/>
          <w:b/>
        </w:rPr>
      </w:pPr>
      <w:r>
        <w:rPr>
          <w:rFonts w:ascii="Arial" w:hAnsi="Arial" w:cs="Arial"/>
          <w:b/>
        </w:rPr>
        <w:t>M. EN AUD.</w:t>
      </w:r>
      <w:r w:rsidR="00F8399B" w:rsidRPr="003B5C52">
        <w:rPr>
          <w:rFonts w:ascii="Arial" w:hAnsi="Arial" w:cs="Arial"/>
          <w:b/>
        </w:rPr>
        <w:t xml:space="preserve"> MANUEL</w:t>
      </w:r>
      <w:r w:rsidR="00F8399B" w:rsidRPr="00942DBF">
        <w:rPr>
          <w:rFonts w:ascii="Arial" w:hAnsi="Arial" w:cs="Arial"/>
          <w:b/>
        </w:rPr>
        <w:t xml:space="preserve"> PALACIOS HERRERA</w:t>
      </w:r>
    </w:p>
    <w:p w14:paraId="00E8AB95" w14:textId="11671C3D" w:rsidR="00625DD1" w:rsidRDefault="00625DD1" w:rsidP="00B73486">
      <w:pPr>
        <w:spacing w:line="360" w:lineRule="auto"/>
        <w:ind w:right="141"/>
        <w:jc w:val="center"/>
        <w:rPr>
          <w:rFonts w:ascii="Arial" w:hAnsi="Arial" w:cs="Arial"/>
          <w:b/>
        </w:rPr>
      </w:pPr>
    </w:p>
    <w:p w14:paraId="3BB31D0A" w14:textId="516A5134" w:rsidR="00625DD1" w:rsidRDefault="00625DD1" w:rsidP="00B73486">
      <w:pPr>
        <w:spacing w:line="360" w:lineRule="auto"/>
        <w:ind w:right="141"/>
        <w:jc w:val="center"/>
        <w:rPr>
          <w:rFonts w:ascii="Arial" w:hAnsi="Arial" w:cs="Arial"/>
          <w:b/>
        </w:rPr>
      </w:pPr>
    </w:p>
    <w:p w14:paraId="76BA1F97" w14:textId="197C12AD" w:rsidR="00625DD1" w:rsidRDefault="00625DD1" w:rsidP="00B73486">
      <w:pPr>
        <w:spacing w:line="360" w:lineRule="auto"/>
        <w:ind w:right="141"/>
        <w:jc w:val="center"/>
        <w:rPr>
          <w:rFonts w:ascii="Arial" w:hAnsi="Arial" w:cs="Arial"/>
          <w:b/>
        </w:rPr>
      </w:pPr>
    </w:p>
    <w:p w14:paraId="47E54213" w14:textId="4F7489DA" w:rsidR="00625DD1" w:rsidRDefault="00625DD1" w:rsidP="00B73486">
      <w:pPr>
        <w:spacing w:line="360" w:lineRule="auto"/>
        <w:ind w:right="141"/>
        <w:jc w:val="center"/>
        <w:rPr>
          <w:rFonts w:ascii="Arial" w:hAnsi="Arial" w:cs="Arial"/>
          <w:b/>
        </w:rPr>
      </w:pPr>
    </w:p>
    <w:p w14:paraId="1F48447F" w14:textId="5DE89C63" w:rsidR="00F8399B" w:rsidRDefault="00F8399B" w:rsidP="00F8399B">
      <w:pPr>
        <w:spacing w:line="360" w:lineRule="auto"/>
        <w:ind w:right="49"/>
        <w:jc w:val="center"/>
        <w:rPr>
          <w:rFonts w:ascii="Arial" w:hAnsi="Arial" w:cs="Arial"/>
          <w:b/>
        </w:rPr>
      </w:pPr>
    </w:p>
    <w:sectPr w:rsidR="00F8399B" w:rsidSect="00C329C7">
      <w:headerReference w:type="default" r:id="rId8"/>
      <w:footerReference w:type="default" r:id="rId9"/>
      <w:headerReference w:type="first" r:id="rId10"/>
      <w:footerReference w:type="first" r:id="rId11"/>
      <w:pgSz w:w="12240" w:h="15840" w:code="1"/>
      <w:pgMar w:top="851" w:right="1183"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71D37" w14:textId="77777777" w:rsidR="00663340" w:rsidRDefault="00663340">
      <w:r>
        <w:separator/>
      </w:r>
    </w:p>
  </w:endnote>
  <w:endnote w:type="continuationSeparator" w:id="0">
    <w:p w14:paraId="28714E3C" w14:textId="77777777" w:rsidR="00663340" w:rsidRDefault="00663340">
      <w:r>
        <w:continuationSeparator/>
      </w:r>
    </w:p>
  </w:endnote>
  <w:endnote w:type="continuationNotice" w:id="1">
    <w:p w14:paraId="4757313C" w14:textId="77777777" w:rsidR="00663340" w:rsidRDefault="00663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39"/>
    </w:tblGrid>
    <w:tr w:rsidR="006C0485" w14:paraId="6A5BE9BB" w14:textId="77777777" w:rsidTr="0019434C">
      <w:tc>
        <w:tcPr>
          <w:tcW w:w="9678" w:type="dxa"/>
        </w:tcPr>
        <w:p w14:paraId="64429BB2" w14:textId="77777777" w:rsidR="006C0485" w:rsidRDefault="006C0485">
          <w:pPr>
            <w:pStyle w:val="Piedepgina"/>
            <w:jc w:val="right"/>
            <w:rPr>
              <w:rFonts w:ascii="Arial" w:hAnsi="Arial" w:cs="Arial"/>
              <w:b/>
              <w:sz w:val="18"/>
              <w:szCs w:val="18"/>
              <w:lang w:val="es-ES"/>
            </w:rPr>
          </w:pPr>
        </w:p>
      </w:tc>
    </w:tr>
  </w:tbl>
  <w:p w14:paraId="2DA073E8" w14:textId="554154B2" w:rsidR="006C0485" w:rsidRPr="00B516B6" w:rsidRDefault="006C0485">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DA72DB">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DA72DB">
      <w:rPr>
        <w:rFonts w:ascii="Arial" w:hAnsi="Arial" w:cs="Arial"/>
        <w:b/>
        <w:bCs/>
        <w:noProof/>
        <w:sz w:val="18"/>
        <w:szCs w:val="18"/>
      </w:rPr>
      <w:t>27</w:t>
    </w:r>
    <w:r w:rsidRPr="00B516B6">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6C0485" w:rsidRPr="00D875E2" w14:paraId="4B370E62" w14:textId="77777777" w:rsidTr="00CA1228">
      <w:trPr>
        <w:trHeight w:val="344"/>
      </w:trPr>
      <w:tc>
        <w:tcPr>
          <w:tcW w:w="9360" w:type="dxa"/>
          <w:shd w:val="clear" w:color="auto" w:fill="auto"/>
        </w:tcPr>
        <w:p w14:paraId="5631AFEE" w14:textId="77777777" w:rsidR="006C0485" w:rsidRPr="00D875E2" w:rsidRDefault="006C0485" w:rsidP="00B37C6B">
          <w:pPr>
            <w:rPr>
              <w:rStyle w:val="nfasis"/>
              <w:i w:val="0"/>
              <w:iCs w:val="0"/>
            </w:rPr>
          </w:pPr>
        </w:p>
      </w:tc>
    </w:tr>
  </w:tbl>
  <w:p w14:paraId="1A2FA609" w14:textId="77777777" w:rsidR="006C0485" w:rsidRDefault="006C0485">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CD9E6" w14:textId="77777777" w:rsidR="00663340" w:rsidRDefault="00663340">
      <w:r>
        <w:separator/>
      </w:r>
    </w:p>
  </w:footnote>
  <w:footnote w:type="continuationSeparator" w:id="0">
    <w:p w14:paraId="38657E06" w14:textId="77777777" w:rsidR="00663340" w:rsidRDefault="00663340">
      <w:r>
        <w:continuationSeparator/>
      </w:r>
    </w:p>
  </w:footnote>
  <w:footnote w:type="continuationNotice" w:id="1">
    <w:p w14:paraId="301FEC8D" w14:textId="77777777" w:rsidR="00663340" w:rsidRDefault="0066334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C0485" w:rsidRPr="006F757C" w14:paraId="56C9C28E" w14:textId="77777777" w:rsidTr="000D3767">
      <w:tc>
        <w:tcPr>
          <w:tcW w:w="2055" w:type="dxa"/>
          <w:vAlign w:val="center"/>
        </w:tcPr>
        <w:p w14:paraId="0C824F63" w14:textId="77777777" w:rsidR="006C0485" w:rsidRPr="00CF3DF4" w:rsidRDefault="006C0485"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6C0485" w:rsidRPr="00CF3DF4" w:rsidRDefault="006C0485" w:rsidP="00050C8E">
          <w:pPr>
            <w:tabs>
              <w:tab w:val="center" w:pos="4419"/>
              <w:tab w:val="right" w:pos="8838"/>
            </w:tabs>
            <w:jc w:val="center"/>
            <w:rPr>
              <w:rFonts w:ascii="Arial" w:hAnsi="Arial" w:cs="Arial"/>
              <w:sz w:val="18"/>
              <w:szCs w:val="18"/>
            </w:rPr>
          </w:pPr>
        </w:p>
      </w:tc>
      <w:tc>
        <w:tcPr>
          <w:tcW w:w="2030" w:type="dxa"/>
          <w:vAlign w:val="center"/>
        </w:tcPr>
        <w:p w14:paraId="00E11AB2" w14:textId="77777777" w:rsidR="006C0485" w:rsidRPr="00207E4F" w:rsidRDefault="006C0485" w:rsidP="00050C8E">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6C0485" w:rsidRPr="003316E8" w14:paraId="6A8BA69B" w14:textId="77777777" w:rsidTr="000D3767">
      <w:tc>
        <w:tcPr>
          <w:tcW w:w="2055" w:type="dxa"/>
          <w:vAlign w:val="center"/>
          <w:hideMark/>
        </w:tcPr>
        <w:p w14:paraId="15399BA7" w14:textId="1A2745F7" w:rsidR="006C0485" w:rsidRPr="003316E8" w:rsidRDefault="006C0485" w:rsidP="00050C8E">
          <w:pPr>
            <w:tabs>
              <w:tab w:val="center" w:pos="4419"/>
              <w:tab w:val="right" w:pos="8838"/>
            </w:tabs>
            <w:jc w:val="center"/>
          </w:pPr>
          <w:r>
            <w:rPr>
              <w:noProof/>
              <w:lang w:eastAsia="es-MX"/>
            </w:rPr>
            <w:drawing>
              <wp:inline distT="0" distB="0" distL="0" distR="0" wp14:anchorId="6FB3E6D9" wp14:editId="63AC1608">
                <wp:extent cx="929005" cy="1228001"/>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E152158" w14:textId="77777777" w:rsidR="006C0485" w:rsidRPr="00373686" w:rsidRDefault="006C0485"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6C0485" w:rsidRPr="003316E8" w:rsidRDefault="006C0485"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C0485" w:rsidRPr="003316E8" w14:paraId="7AB66ED2" w14:textId="77777777" w:rsidTr="000D3767">
      <w:tc>
        <w:tcPr>
          <w:tcW w:w="2055" w:type="dxa"/>
          <w:tcBorders>
            <w:top w:val="nil"/>
            <w:left w:val="nil"/>
            <w:bottom w:val="thinThickSmallGap" w:sz="24" w:space="0" w:color="auto"/>
            <w:right w:val="nil"/>
          </w:tcBorders>
        </w:tcPr>
        <w:p w14:paraId="0A8382D2" w14:textId="77777777" w:rsidR="006C0485" w:rsidRPr="003316E8" w:rsidRDefault="006C0485"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6C0485" w:rsidRPr="003316E8" w:rsidRDefault="006C0485"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6C0485" w:rsidRPr="003316E8" w:rsidRDefault="006C0485" w:rsidP="00050C8E">
          <w:pPr>
            <w:tabs>
              <w:tab w:val="center" w:pos="4419"/>
              <w:tab w:val="right" w:pos="8838"/>
            </w:tabs>
            <w:rPr>
              <w:sz w:val="10"/>
            </w:rPr>
          </w:pPr>
        </w:p>
      </w:tc>
    </w:tr>
  </w:tbl>
  <w:p w14:paraId="246477C3" w14:textId="77777777" w:rsidR="006C0485" w:rsidRPr="003C2FE7" w:rsidRDefault="006C0485">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C0485" w:rsidRPr="006F757C" w14:paraId="38A624E4" w14:textId="77777777" w:rsidTr="00CA1228">
      <w:tc>
        <w:tcPr>
          <w:tcW w:w="2055" w:type="dxa"/>
          <w:vAlign w:val="center"/>
        </w:tcPr>
        <w:p w14:paraId="6CB6A5B7" w14:textId="77777777" w:rsidR="006C0485" w:rsidRPr="00CF3DF4" w:rsidRDefault="006C0485"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36004E19" w14:textId="77777777" w:rsidR="006C0485" w:rsidRPr="00CF3DF4" w:rsidRDefault="006C0485" w:rsidP="00B37C6B">
          <w:pPr>
            <w:tabs>
              <w:tab w:val="center" w:pos="4419"/>
              <w:tab w:val="right" w:pos="8838"/>
            </w:tabs>
            <w:jc w:val="center"/>
            <w:rPr>
              <w:rFonts w:ascii="Arial" w:hAnsi="Arial" w:cs="Arial"/>
              <w:sz w:val="18"/>
              <w:szCs w:val="18"/>
            </w:rPr>
          </w:pPr>
        </w:p>
      </w:tc>
      <w:tc>
        <w:tcPr>
          <w:tcW w:w="2030" w:type="dxa"/>
          <w:vAlign w:val="center"/>
        </w:tcPr>
        <w:p w14:paraId="44C0EF39" w14:textId="77777777" w:rsidR="006C0485" w:rsidRPr="00207E4F" w:rsidRDefault="006C0485"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6C0485" w:rsidRPr="003316E8" w14:paraId="256F8131" w14:textId="77777777" w:rsidTr="00CA1228">
      <w:tc>
        <w:tcPr>
          <w:tcW w:w="2055" w:type="dxa"/>
          <w:vAlign w:val="center"/>
          <w:hideMark/>
        </w:tcPr>
        <w:p w14:paraId="58E207BB" w14:textId="77777777" w:rsidR="006C0485" w:rsidRPr="003316E8" w:rsidRDefault="006C0485" w:rsidP="00B37C6B">
          <w:pPr>
            <w:tabs>
              <w:tab w:val="center" w:pos="4419"/>
              <w:tab w:val="right" w:pos="8838"/>
            </w:tabs>
            <w:jc w:val="center"/>
          </w:pPr>
          <w:r>
            <w:rPr>
              <w:noProof/>
              <w:lang w:eastAsia="es-MX"/>
            </w:rPr>
            <w:drawing>
              <wp:inline distT="0" distB="0" distL="0" distR="0" wp14:anchorId="113367CB" wp14:editId="7C2193A9">
                <wp:extent cx="929005" cy="1228001"/>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724F8705" w14:textId="77777777" w:rsidR="006C0485" w:rsidRPr="00373686" w:rsidRDefault="006C0485"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FFBAED8" w14:textId="77777777" w:rsidR="006C0485" w:rsidRPr="003316E8" w:rsidRDefault="006C0485"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2F2AAE16" wp14:editId="136546DB">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C0485" w:rsidRPr="003316E8" w14:paraId="68AF7762" w14:textId="77777777" w:rsidTr="00CA1228">
      <w:tc>
        <w:tcPr>
          <w:tcW w:w="2055" w:type="dxa"/>
          <w:tcBorders>
            <w:top w:val="nil"/>
            <w:left w:val="nil"/>
            <w:bottom w:val="thinThickSmallGap" w:sz="24" w:space="0" w:color="auto"/>
            <w:right w:val="nil"/>
          </w:tcBorders>
        </w:tcPr>
        <w:p w14:paraId="41BBFDDB" w14:textId="77777777" w:rsidR="006C0485" w:rsidRPr="003316E8" w:rsidRDefault="006C0485"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64069838" w14:textId="77777777" w:rsidR="006C0485" w:rsidRPr="003316E8" w:rsidRDefault="006C0485"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C0A7821" w14:textId="77777777" w:rsidR="006C0485" w:rsidRPr="003316E8" w:rsidRDefault="006C0485" w:rsidP="00B37C6B">
          <w:pPr>
            <w:tabs>
              <w:tab w:val="center" w:pos="4419"/>
              <w:tab w:val="right" w:pos="8838"/>
            </w:tabs>
            <w:rPr>
              <w:sz w:val="10"/>
            </w:rPr>
          </w:pPr>
        </w:p>
      </w:tc>
    </w:tr>
  </w:tbl>
  <w:p w14:paraId="2E83CBEF" w14:textId="77777777" w:rsidR="006C0485" w:rsidRDefault="006C048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D0B"/>
    <w:multiLevelType w:val="hybridMultilevel"/>
    <w:tmpl w:val="203E6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694C39"/>
    <w:multiLevelType w:val="hybridMultilevel"/>
    <w:tmpl w:val="2C309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284031"/>
    <w:multiLevelType w:val="hybridMultilevel"/>
    <w:tmpl w:val="BDD08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6C5C1F"/>
    <w:multiLevelType w:val="hybridMultilevel"/>
    <w:tmpl w:val="C0CE5654"/>
    <w:lvl w:ilvl="0" w:tplc="07E40E2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316AC0"/>
    <w:multiLevelType w:val="hybridMultilevel"/>
    <w:tmpl w:val="3098A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4B572C"/>
    <w:multiLevelType w:val="hybridMultilevel"/>
    <w:tmpl w:val="A27E3338"/>
    <w:lvl w:ilvl="0" w:tplc="4486506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1C760C"/>
    <w:multiLevelType w:val="hybridMultilevel"/>
    <w:tmpl w:val="3B4C5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7943A7"/>
    <w:multiLevelType w:val="hybridMultilevel"/>
    <w:tmpl w:val="9500A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890B74"/>
    <w:multiLevelType w:val="hybridMultilevel"/>
    <w:tmpl w:val="1C4CF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3B7A44"/>
    <w:multiLevelType w:val="hybridMultilevel"/>
    <w:tmpl w:val="8C482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D02DFA"/>
    <w:multiLevelType w:val="hybridMultilevel"/>
    <w:tmpl w:val="477CE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161A82"/>
    <w:multiLevelType w:val="hybridMultilevel"/>
    <w:tmpl w:val="9AB81E42"/>
    <w:lvl w:ilvl="0" w:tplc="1F0A4A58">
      <w:start w:val="1"/>
      <w:numFmt w:val="decimal"/>
      <w:lvlText w:val="%1."/>
      <w:lvlJc w:val="left"/>
      <w:pPr>
        <w:ind w:left="765" w:hanging="360"/>
      </w:pPr>
      <w:rPr>
        <w:i w:val="0"/>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4" w15:restartNumberingAfterBreak="0">
    <w:nsid w:val="3191493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DE3C99"/>
    <w:multiLevelType w:val="hybridMultilevel"/>
    <w:tmpl w:val="E2E4E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B3265B"/>
    <w:multiLevelType w:val="hybridMultilevel"/>
    <w:tmpl w:val="58B2F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D97DD2"/>
    <w:multiLevelType w:val="hybridMultilevel"/>
    <w:tmpl w:val="EDDEE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591AA6"/>
    <w:multiLevelType w:val="hybridMultilevel"/>
    <w:tmpl w:val="FDEAA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11C0972"/>
    <w:multiLevelType w:val="hybridMultilevel"/>
    <w:tmpl w:val="1826B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D25B10"/>
    <w:multiLevelType w:val="hybridMultilevel"/>
    <w:tmpl w:val="9D869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1B3576"/>
    <w:multiLevelType w:val="hybridMultilevel"/>
    <w:tmpl w:val="6336A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BAF3EED"/>
    <w:multiLevelType w:val="hybridMultilevel"/>
    <w:tmpl w:val="0010BE9C"/>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25" w15:restartNumberingAfterBreak="0">
    <w:nsid w:val="54A61C82"/>
    <w:multiLevelType w:val="hybridMultilevel"/>
    <w:tmpl w:val="98406D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2060DF"/>
    <w:multiLevelType w:val="hybridMultilevel"/>
    <w:tmpl w:val="4366F0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6A119E4"/>
    <w:multiLevelType w:val="hybridMultilevel"/>
    <w:tmpl w:val="2A5C6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847CE2"/>
    <w:multiLevelType w:val="hybridMultilevel"/>
    <w:tmpl w:val="5D863508"/>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8F36FD5"/>
    <w:multiLevelType w:val="hybridMultilevel"/>
    <w:tmpl w:val="09544E3A"/>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B8944B9"/>
    <w:multiLevelType w:val="hybridMultilevel"/>
    <w:tmpl w:val="B9A2FB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6A3BF0"/>
    <w:multiLevelType w:val="hybridMultilevel"/>
    <w:tmpl w:val="B9A2FB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5D368E"/>
    <w:multiLevelType w:val="hybridMultilevel"/>
    <w:tmpl w:val="3E6AB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24303E"/>
    <w:multiLevelType w:val="hybridMultilevel"/>
    <w:tmpl w:val="61E04418"/>
    <w:lvl w:ilvl="0" w:tplc="BB00771E">
      <w:start w:val="1"/>
      <w:numFmt w:val="decimal"/>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C5A6C42"/>
    <w:multiLevelType w:val="hybridMultilevel"/>
    <w:tmpl w:val="E2BE5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4"/>
  </w:num>
  <w:num w:numId="4">
    <w:abstractNumId w:val="19"/>
  </w:num>
  <w:num w:numId="5">
    <w:abstractNumId w:val="25"/>
  </w:num>
  <w:num w:numId="6">
    <w:abstractNumId w:val="12"/>
  </w:num>
  <w:num w:numId="7">
    <w:abstractNumId w:val="33"/>
  </w:num>
  <w:num w:numId="8">
    <w:abstractNumId w:val="31"/>
  </w:num>
  <w:num w:numId="9">
    <w:abstractNumId w:val="14"/>
  </w:num>
  <w:num w:numId="10">
    <w:abstractNumId w:val="23"/>
  </w:num>
  <w:num w:numId="11">
    <w:abstractNumId w:val="13"/>
  </w:num>
  <w:num w:numId="12">
    <w:abstractNumId w:val="3"/>
  </w:num>
  <w:num w:numId="13">
    <w:abstractNumId w:val="20"/>
  </w:num>
  <w:num w:numId="14">
    <w:abstractNumId w:val="26"/>
  </w:num>
  <w:num w:numId="15">
    <w:abstractNumId w:val="30"/>
  </w:num>
  <w:num w:numId="16">
    <w:abstractNumId w:val="0"/>
  </w:num>
  <w:num w:numId="17">
    <w:abstractNumId w:val="22"/>
  </w:num>
  <w:num w:numId="18">
    <w:abstractNumId w:val="16"/>
  </w:num>
  <w:num w:numId="19">
    <w:abstractNumId w:val="1"/>
  </w:num>
  <w:num w:numId="20">
    <w:abstractNumId w:val="5"/>
  </w:num>
  <w:num w:numId="21">
    <w:abstractNumId w:val="32"/>
  </w:num>
  <w:num w:numId="22">
    <w:abstractNumId w:val="35"/>
  </w:num>
  <w:num w:numId="23">
    <w:abstractNumId w:val="21"/>
  </w:num>
  <w:num w:numId="24">
    <w:abstractNumId w:val="17"/>
  </w:num>
  <w:num w:numId="25">
    <w:abstractNumId w:val="15"/>
  </w:num>
  <w:num w:numId="26">
    <w:abstractNumId w:val="2"/>
  </w:num>
  <w:num w:numId="27">
    <w:abstractNumId w:val="10"/>
  </w:num>
  <w:num w:numId="28">
    <w:abstractNumId w:val="24"/>
  </w:num>
  <w:num w:numId="29">
    <w:abstractNumId w:val="18"/>
  </w:num>
  <w:num w:numId="30">
    <w:abstractNumId w:val="7"/>
  </w:num>
  <w:num w:numId="31">
    <w:abstractNumId w:val="9"/>
  </w:num>
  <w:num w:numId="32">
    <w:abstractNumId w:val="11"/>
  </w:num>
  <w:num w:numId="33">
    <w:abstractNumId w:val="6"/>
  </w:num>
  <w:num w:numId="34">
    <w:abstractNumId w:val="27"/>
  </w:num>
  <w:num w:numId="35">
    <w:abstractNumId w:val="29"/>
  </w:num>
  <w:num w:numId="36">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A9E"/>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9D"/>
    <w:rsid w:val="000100C5"/>
    <w:rsid w:val="0001029E"/>
    <w:rsid w:val="000103C4"/>
    <w:rsid w:val="00010E6C"/>
    <w:rsid w:val="0001109F"/>
    <w:rsid w:val="00011942"/>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582"/>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164"/>
    <w:rsid w:val="00024808"/>
    <w:rsid w:val="00024A7E"/>
    <w:rsid w:val="00024AE6"/>
    <w:rsid w:val="00024C6D"/>
    <w:rsid w:val="00025095"/>
    <w:rsid w:val="00025404"/>
    <w:rsid w:val="00025CD7"/>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220"/>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158"/>
    <w:rsid w:val="00042378"/>
    <w:rsid w:val="0004250B"/>
    <w:rsid w:val="00042B78"/>
    <w:rsid w:val="00042D1E"/>
    <w:rsid w:val="0004313E"/>
    <w:rsid w:val="000437A1"/>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7E2"/>
    <w:rsid w:val="00056995"/>
    <w:rsid w:val="00057151"/>
    <w:rsid w:val="0005723A"/>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4DAE"/>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721"/>
    <w:rsid w:val="00086D09"/>
    <w:rsid w:val="0008729E"/>
    <w:rsid w:val="000877E7"/>
    <w:rsid w:val="00087E9E"/>
    <w:rsid w:val="00090626"/>
    <w:rsid w:val="00090887"/>
    <w:rsid w:val="00090A66"/>
    <w:rsid w:val="00090C97"/>
    <w:rsid w:val="0009110D"/>
    <w:rsid w:val="0009130B"/>
    <w:rsid w:val="000916DC"/>
    <w:rsid w:val="00092589"/>
    <w:rsid w:val="00093095"/>
    <w:rsid w:val="000940C3"/>
    <w:rsid w:val="00094410"/>
    <w:rsid w:val="00094921"/>
    <w:rsid w:val="00094BA5"/>
    <w:rsid w:val="0009519A"/>
    <w:rsid w:val="00095E55"/>
    <w:rsid w:val="000968B9"/>
    <w:rsid w:val="00096C51"/>
    <w:rsid w:val="00097EC4"/>
    <w:rsid w:val="00097F6F"/>
    <w:rsid w:val="000A0868"/>
    <w:rsid w:val="000A0F24"/>
    <w:rsid w:val="000A1D70"/>
    <w:rsid w:val="000A1E1D"/>
    <w:rsid w:val="000A1F88"/>
    <w:rsid w:val="000A260C"/>
    <w:rsid w:val="000A29D2"/>
    <w:rsid w:val="000A29D3"/>
    <w:rsid w:val="000A3114"/>
    <w:rsid w:val="000A3C72"/>
    <w:rsid w:val="000A424D"/>
    <w:rsid w:val="000A472A"/>
    <w:rsid w:val="000A56E4"/>
    <w:rsid w:val="000A5A85"/>
    <w:rsid w:val="000A5B90"/>
    <w:rsid w:val="000A6101"/>
    <w:rsid w:val="000A6356"/>
    <w:rsid w:val="000A6BDF"/>
    <w:rsid w:val="000A73CC"/>
    <w:rsid w:val="000A794D"/>
    <w:rsid w:val="000A7AED"/>
    <w:rsid w:val="000A7F82"/>
    <w:rsid w:val="000B08E1"/>
    <w:rsid w:val="000B0989"/>
    <w:rsid w:val="000B0AD9"/>
    <w:rsid w:val="000B0DF3"/>
    <w:rsid w:val="000B1389"/>
    <w:rsid w:val="000B1ACB"/>
    <w:rsid w:val="000B26CC"/>
    <w:rsid w:val="000B2718"/>
    <w:rsid w:val="000B3119"/>
    <w:rsid w:val="000B387C"/>
    <w:rsid w:val="000B3A60"/>
    <w:rsid w:val="000B3B23"/>
    <w:rsid w:val="000B43BB"/>
    <w:rsid w:val="000B4ACD"/>
    <w:rsid w:val="000B597D"/>
    <w:rsid w:val="000B5BC6"/>
    <w:rsid w:val="000B5D39"/>
    <w:rsid w:val="000B6260"/>
    <w:rsid w:val="000B699C"/>
    <w:rsid w:val="000B6ACF"/>
    <w:rsid w:val="000B7BA5"/>
    <w:rsid w:val="000B7BD4"/>
    <w:rsid w:val="000B7DEE"/>
    <w:rsid w:val="000B7E22"/>
    <w:rsid w:val="000C0253"/>
    <w:rsid w:val="000C02B3"/>
    <w:rsid w:val="000C068E"/>
    <w:rsid w:val="000C08A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6E89"/>
    <w:rsid w:val="000C7289"/>
    <w:rsid w:val="000C795B"/>
    <w:rsid w:val="000C7F4F"/>
    <w:rsid w:val="000D0648"/>
    <w:rsid w:val="000D0D95"/>
    <w:rsid w:val="000D1221"/>
    <w:rsid w:val="000D1BE6"/>
    <w:rsid w:val="000D1DE6"/>
    <w:rsid w:val="000D214E"/>
    <w:rsid w:val="000D22E6"/>
    <w:rsid w:val="000D22F2"/>
    <w:rsid w:val="000D2300"/>
    <w:rsid w:val="000D2319"/>
    <w:rsid w:val="000D2951"/>
    <w:rsid w:val="000D2C11"/>
    <w:rsid w:val="000D34D4"/>
    <w:rsid w:val="000D3767"/>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91A"/>
    <w:rsid w:val="000E2B05"/>
    <w:rsid w:val="000E3086"/>
    <w:rsid w:val="000E308D"/>
    <w:rsid w:val="000E3976"/>
    <w:rsid w:val="000E3AD7"/>
    <w:rsid w:val="000E3F1B"/>
    <w:rsid w:val="000E4853"/>
    <w:rsid w:val="000E4C4E"/>
    <w:rsid w:val="000E4E46"/>
    <w:rsid w:val="000E536B"/>
    <w:rsid w:val="000E63CF"/>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3B7D"/>
    <w:rsid w:val="000F47F6"/>
    <w:rsid w:val="000F4C17"/>
    <w:rsid w:val="000F5895"/>
    <w:rsid w:val="000F598B"/>
    <w:rsid w:val="000F5ECA"/>
    <w:rsid w:val="000F60F5"/>
    <w:rsid w:val="000F626C"/>
    <w:rsid w:val="000F6372"/>
    <w:rsid w:val="000F639A"/>
    <w:rsid w:val="000F6F79"/>
    <w:rsid w:val="000F7622"/>
    <w:rsid w:val="000F7E2E"/>
    <w:rsid w:val="001005E9"/>
    <w:rsid w:val="00101172"/>
    <w:rsid w:val="0010164E"/>
    <w:rsid w:val="00101D56"/>
    <w:rsid w:val="001025A7"/>
    <w:rsid w:val="0010276E"/>
    <w:rsid w:val="00102C0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38C8"/>
    <w:rsid w:val="0011490C"/>
    <w:rsid w:val="0011513C"/>
    <w:rsid w:val="00115342"/>
    <w:rsid w:val="001158E8"/>
    <w:rsid w:val="00115A24"/>
    <w:rsid w:val="00115E1E"/>
    <w:rsid w:val="00116397"/>
    <w:rsid w:val="00116D21"/>
    <w:rsid w:val="001171B5"/>
    <w:rsid w:val="00117FAD"/>
    <w:rsid w:val="001207F3"/>
    <w:rsid w:val="0012096C"/>
    <w:rsid w:val="00120E9B"/>
    <w:rsid w:val="0012139F"/>
    <w:rsid w:val="00121694"/>
    <w:rsid w:val="00121A59"/>
    <w:rsid w:val="00121A6E"/>
    <w:rsid w:val="001226D2"/>
    <w:rsid w:val="00122B79"/>
    <w:rsid w:val="00122E09"/>
    <w:rsid w:val="00122FFE"/>
    <w:rsid w:val="00123139"/>
    <w:rsid w:val="00123982"/>
    <w:rsid w:val="00123B63"/>
    <w:rsid w:val="00123C00"/>
    <w:rsid w:val="0012436B"/>
    <w:rsid w:val="001252D5"/>
    <w:rsid w:val="001252ED"/>
    <w:rsid w:val="001252EE"/>
    <w:rsid w:val="00125497"/>
    <w:rsid w:val="001258DC"/>
    <w:rsid w:val="00125963"/>
    <w:rsid w:val="00125F2D"/>
    <w:rsid w:val="00126044"/>
    <w:rsid w:val="001262A1"/>
    <w:rsid w:val="00126402"/>
    <w:rsid w:val="0012702E"/>
    <w:rsid w:val="00127137"/>
    <w:rsid w:val="0012766C"/>
    <w:rsid w:val="001279B3"/>
    <w:rsid w:val="00127DD4"/>
    <w:rsid w:val="001308CE"/>
    <w:rsid w:val="00130F12"/>
    <w:rsid w:val="001315B1"/>
    <w:rsid w:val="00131A86"/>
    <w:rsid w:val="00131D23"/>
    <w:rsid w:val="00131E37"/>
    <w:rsid w:val="00131F8F"/>
    <w:rsid w:val="00131FA6"/>
    <w:rsid w:val="00131FE6"/>
    <w:rsid w:val="001328A5"/>
    <w:rsid w:val="00133431"/>
    <w:rsid w:val="001337A2"/>
    <w:rsid w:val="001337C0"/>
    <w:rsid w:val="00133B5C"/>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107"/>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31"/>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50F"/>
    <w:rsid w:val="0016479A"/>
    <w:rsid w:val="0016498F"/>
    <w:rsid w:val="00165610"/>
    <w:rsid w:val="00165AC1"/>
    <w:rsid w:val="001660F3"/>
    <w:rsid w:val="00166734"/>
    <w:rsid w:val="00166BA9"/>
    <w:rsid w:val="0016763E"/>
    <w:rsid w:val="00167EB9"/>
    <w:rsid w:val="00170002"/>
    <w:rsid w:val="001702DF"/>
    <w:rsid w:val="0017051E"/>
    <w:rsid w:val="00170795"/>
    <w:rsid w:val="0017109F"/>
    <w:rsid w:val="00171324"/>
    <w:rsid w:val="001715FF"/>
    <w:rsid w:val="001726AE"/>
    <w:rsid w:val="00173A35"/>
    <w:rsid w:val="00173FE4"/>
    <w:rsid w:val="00174072"/>
    <w:rsid w:val="001747A8"/>
    <w:rsid w:val="00174853"/>
    <w:rsid w:val="00174AF9"/>
    <w:rsid w:val="0017545C"/>
    <w:rsid w:val="00175B99"/>
    <w:rsid w:val="00175E39"/>
    <w:rsid w:val="00175F7E"/>
    <w:rsid w:val="0017734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3A94"/>
    <w:rsid w:val="00184643"/>
    <w:rsid w:val="00184B47"/>
    <w:rsid w:val="00185914"/>
    <w:rsid w:val="00185E11"/>
    <w:rsid w:val="001862CD"/>
    <w:rsid w:val="00186BF8"/>
    <w:rsid w:val="00186DA1"/>
    <w:rsid w:val="001871A5"/>
    <w:rsid w:val="001876B4"/>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B53"/>
    <w:rsid w:val="00194EAC"/>
    <w:rsid w:val="0019551E"/>
    <w:rsid w:val="0019558F"/>
    <w:rsid w:val="00195F97"/>
    <w:rsid w:val="0019607A"/>
    <w:rsid w:val="001964BB"/>
    <w:rsid w:val="00196503"/>
    <w:rsid w:val="001971A8"/>
    <w:rsid w:val="00197658"/>
    <w:rsid w:val="00197E18"/>
    <w:rsid w:val="00197F01"/>
    <w:rsid w:val="001A09C4"/>
    <w:rsid w:val="001A0B4C"/>
    <w:rsid w:val="001A0F63"/>
    <w:rsid w:val="001A122C"/>
    <w:rsid w:val="001A15C4"/>
    <w:rsid w:val="001A1D4D"/>
    <w:rsid w:val="001A2623"/>
    <w:rsid w:val="001A2DB9"/>
    <w:rsid w:val="001A34BC"/>
    <w:rsid w:val="001A37F9"/>
    <w:rsid w:val="001A38C7"/>
    <w:rsid w:val="001A425F"/>
    <w:rsid w:val="001A432C"/>
    <w:rsid w:val="001A46A9"/>
    <w:rsid w:val="001A494C"/>
    <w:rsid w:val="001A4C1F"/>
    <w:rsid w:val="001A4EB5"/>
    <w:rsid w:val="001A545A"/>
    <w:rsid w:val="001A59C2"/>
    <w:rsid w:val="001A6401"/>
    <w:rsid w:val="001A674C"/>
    <w:rsid w:val="001A67A2"/>
    <w:rsid w:val="001A6A4A"/>
    <w:rsid w:val="001A6BB6"/>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5DC"/>
    <w:rsid w:val="001C1C3B"/>
    <w:rsid w:val="001C1EF9"/>
    <w:rsid w:val="001C2040"/>
    <w:rsid w:val="001C258E"/>
    <w:rsid w:val="001C3031"/>
    <w:rsid w:val="001C3236"/>
    <w:rsid w:val="001C3D22"/>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5C3"/>
    <w:rsid w:val="001D27FA"/>
    <w:rsid w:val="001D284A"/>
    <w:rsid w:val="001D2941"/>
    <w:rsid w:val="001D3CC0"/>
    <w:rsid w:val="001D5685"/>
    <w:rsid w:val="001D6289"/>
    <w:rsid w:val="001D64F1"/>
    <w:rsid w:val="001D6A88"/>
    <w:rsid w:val="001D70A6"/>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A31"/>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E82"/>
    <w:rsid w:val="00212705"/>
    <w:rsid w:val="002128DC"/>
    <w:rsid w:val="00212E90"/>
    <w:rsid w:val="002130DC"/>
    <w:rsid w:val="002138CC"/>
    <w:rsid w:val="00213BF7"/>
    <w:rsid w:val="00213D9B"/>
    <w:rsid w:val="00214320"/>
    <w:rsid w:val="0021438A"/>
    <w:rsid w:val="002147B3"/>
    <w:rsid w:val="002148F2"/>
    <w:rsid w:val="002155C5"/>
    <w:rsid w:val="002156BD"/>
    <w:rsid w:val="00216164"/>
    <w:rsid w:val="00216830"/>
    <w:rsid w:val="00217071"/>
    <w:rsid w:val="0021776A"/>
    <w:rsid w:val="00217835"/>
    <w:rsid w:val="00217B4F"/>
    <w:rsid w:val="00217D14"/>
    <w:rsid w:val="00220186"/>
    <w:rsid w:val="00220AC1"/>
    <w:rsid w:val="00221480"/>
    <w:rsid w:val="00221C8D"/>
    <w:rsid w:val="00221D1E"/>
    <w:rsid w:val="00222062"/>
    <w:rsid w:val="00222312"/>
    <w:rsid w:val="0022250C"/>
    <w:rsid w:val="00222BC1"/>
    <w:rsid w:val="00222C5E"/>
    <w:rsid w:val="00223729"/>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0BC"/>
    <w:rsid w:val="00234687"/>
    <w:rsid w:val="00234CE3"/>
    <w:rsid w:val="00234FDC"/>
    <w:rsid w:val="00235244"/>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968"/>
    <w:rsid w:val="002462CB"/>
    <w:rsid w:val="0024665F"/>
    <w:rsid w:val="00246DF6"/>
    <w:rsid w:val="002474D9"/>
    <w:rsid w:val="002475E2"/>
    <w:rsid w:val="0024760B"/>
    <w:rsid w:val="0024778D"/>
    <w:rsid w:val="0024780B"/>
    <w:rsid w:val="00247F60"/>
    <w:rsid w:val="00250AE9"/>
    <w:rsid w:val="00250C00"/>
    <w:rsid w:val="002511BA"/>
    <w:rsid w:val="00251D7F"/>
    <w:rsid w:val="00251F55"/>
    <w:rsid w:val="0025242D"/>
    <w:rsid w:val="0025287D"/>
    <w:rsid w:val="002528D5"/>
    <w:rsid w:val="0025308E"/>
    <w:rsid w:val="00253707"/>
    <w:rsid w:val="00253D28"/>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2C17"/>
    <w:rsid w:val="00262D38"/>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370"/>
    <w:rsid w:val="00266563"/>
    <w:rsid w:val="00266A74"/>
    <w:rsid w:val="00267255"/>
    <w:rsid w:val="002709E5"/>
    <w:rsid w:val="00270DA6"/>
    <w:rsid w:val="00270F70"/>
    <w:rsid w:val="0027217E"/>
    <w:rsid w:val="002726EA"/>
    <w:rsid w:val="00272930"/>
    <w:rsid w:val="00273381"/>
    <w:rsid w:val="00273ADE"/>
    <w:rsid w:val="00273FE0"/>
    <w:rsid w:val="00274721"/>
    <w:rsid w:val="00274B95"/>
    <w:rsid w:val="0027524C"/>
    <w:rsid w:val="0027585B"/>
    <w:rsid w:val="00276249"/>
    <w:rsid w:val="0027664F"/>
    <w:rsid w:val="0027694B"/>
    <w:rsid w:val="0027764F"/>
    <w:rsid w:val="00277ADD"/>
    <w:rsid w:val="00277E06"/>
    <w:rsid w:val="00277FC3"/>
    <w:rsid w:val="002805F5"/>
    <w:rsid w:val="00281232"/>
    <w:rsid w:val="0028172B"/>
    <w:rsid w:val="002819E4"/>
    <w:rsid w:val="00281C13"/>
    <w:rsid w:val="00281CE3"/>
    <w:rsid w:val="00282853"/>
    <w:rsid w:val="00283AC8"/>
    <w:rsid w:val="00283B7C"/>
    <w:rsid w:val="002843A2"/>
    <w:rsid w:val="0028441E"/>
    <w:rsid w:val="00284B51"/>
    <w:rsid w:val="00285075"/>
    <w:rsid w:val="0028535D"/>
    <w:rsid w:val="00285EBD"/>
    <w:rsid w:val="002860B2"/>
    <w:rsid w:val="00286451"/>
    <w:rsid w:val="00286625"/>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62"/>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5BBE"/>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5CF"/>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DA1"/>
    <w:rsid w:val="002D69E4"/>
    <w:rsid w:val="002D6C15"/>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5C6"/>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5901"/>
    <w:rsid w:val="002F5B11"/>
    <w:rsid w:val="002F66BB"/>
    <w:rsid w:val="002F686C"/>
    <w:rsid w:val="002F69E2"/>
    <w:rsid w:val="002F6CA5"/>
    <w:rsid w:val="002F71A9"/>
    <w:rsid w:val="002F723E"/>
    <w:rsid w:val="002F7427"/>
    <w:rsid w:val="002F771B"/>
    <w:rsid w:val="002F7C16"/>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120"/>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E02"/>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09D"/>
    <w:rsid w:val="00327467"/>
    <w:rsid w:val="003278E3"/>
    <w:rsid w:val="003300B5"/>
    <w:rsid w:val="003301C4"/>
    <w:rsid w:val="00330385"/>
    <w:rsid w:val="00330906"/>
    <w:rsid w:val="00330984"/>
    <w:rsid w:val="00330A26"/>
    <w:rsid w:val="00330A2E"/>
    <w:rsid w:val="00330E55"/>
    <w:rsid w:val="003314C2"/>
    <w:rsid w:val="003316E8"/>
    <w:rsid w:val="0033190B"/>
    <w:rsid w:val="00331CC9"/>
    <w:rsid w:val="00331FA5"/>
    <w:rsid w:val="00331FF9"/>
    <w:rsid w:val="003323AD"/>
    <w:rsid w:val="003323EC"/>
    <w:rsid w:val="0033297E"/>
    <w:rsid w:val="00332B93"/>
    <w:rsid w:val="00332D0F"/>
    <w:rsid w:val="003337E0"/>
    <w:rsid w:val="00333A88"/>
    <w:rsid w:val="00333CA2"/>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95C"/>
    <w:rsid w:val="00342A35"/>
    <w:rsid w:val="00342E05"/>
    <w:rsid w:val="00342E38"/>
    <w:rsid w:val="003432A8"/>
    <w:rsid w:val="003432C7"/>
    <w:rsid w:val="00343934"/>
    <w:rsid w:val="00343BC9"/>
    <w:rsid w:val="00343FDF"/>
    <w:rsid w:val="00344793"/>
    <w:rsid w:val="00344935"/>
    <w:rsid w:val="00344C3E"/>
    <w:rsid w:val="003454C2"/>
    <w:rsid w:val="00345528"/>
    <w:rsid w:val="00345572"/>
    <w:rsid w:val="00345A15"/>
    <w:rsid w:val="00345C1A"/>
    <w:rsid w:val="0034639E"/>
    <w:rsid w:val="003464FF"/>
    <w:rsid w:val="00346690"/>
    <w:rsid w:val="003466B0"/>
    <w:rsid w:val="003475CE"/>
    <w:rsid w:val="0035010B"/>
    <w:rsid w:val="003502F1"/>
    <w:rsid w:val="0035031B"/>
    <w:rsid w:val="003506AD"/>
    <w:rsid w:val="003506BE"/>
    <w:rsid w:val="003529FF"/>
    <w:rsid w:val="00352B28"/>
    <w:rsid w:val="00352B9D"/>
    <w:rsid w:val="003531A5"/>
    <w:rsid w:val="0035325F"/>
    <w:rsid w:val="00353346"/>
    <w:rsid w:val="00353376"/>
    <w:rsid w:val="00353ED5"/>
    <w:rsid w:val="00353FBF"/>
    <w:rsid w:val="0035431E"/>
    <w:rsid w:val="0035461A"/>
    <w:rsid w:val="00354621"/>
    <w:rsid w:val="00354B5D"/>
    <w:rsid w:val="00354B96"/>
    <w:rsid w:val="00354CEE"/>
    <w:rsid w:val="00355278"/>
    <w:rsid w:val="0035557C"/>
    <w:rsid w:val="00355743"/>
    <w:rsid w:val="0035645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6DDC"/>
    <w:rsid w:val="003671A5"/>
    <w:rsid w:val="00367A22"/>
    <w:rsid w:val="00367E1D"/>
    <w:rsid w:val="00367F2C"/>
    <w:rsid w:val="00370041"/>
    <w:rsid w:val="00370063"/>
    <w:rsid w:val="00370FFB"/>
    <w:rsid w:val="003712BC"/>
    <w:rsid w:val="00372594"/>
    <w:rsid w:val="00372A45"/>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0B1"/>
    <w:rsid w:val="00381636"/>
    <w:rsid w:val="003816B6"/>
    <w:rsid w:val="003816E0"/>
    <w:rsid w:val="00381CDE"/>
    <w:rsid w:val="003820AE"/>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E99"/>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E5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038"/>
    <w:rsid w:val="003C5846"/>
    <w:rsid w:val="003C5CD0"/>
    <w:rsid w:val="003C5CF6"/>
    <w:rsid w:val="003C5E7B"/>
    <w:rsid w:val="003C5E83"/>
    <w:rsid w:val="003C618E"/>
    <w:rsid w:val="003C7AFF"/>
    <w:rsid w:val="003C7BDB"/>
    <w:rsid w:val="003C7FAA"/>
    <w:rsid w:val="003D0010"/>
    <w:rsid w:val="003D009D"/>
    <w:rsid w:val="003D02CC"/>
    <w:rsid w:val="003D29C7"/>
    <w:rsid w:val="003D3CC6"/>
    <w:rsid w:val="003D3F0F"/>
    <w:rsid w:val="003D45FB"/>
    <w:rsid w:val="003D4F9C"/>
    <w:rsid w:val="003D5AE3"/>
    <w:rsid w:val="003D68C2"/>
    <w:rsid w:val="003D6FFF"/>
    <w:rsid w:val="003D707B"/>
    <w:rsid w:val="003D7DB9"/>
    <w:rsid w:val="003E0294"/>
    <w:rsid w:val="003E04BC"/>
    <w:rsid w:val="003E13AB"/>
    <w:rsid w:val="003E1C25"/>
    <w:rsid w:val="003E2273"/>
    <w:rsid w:val="003E2561"/>
    <w:rsid w:val="003E28C9"/>
    <w:rsid w:val="003E2BB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A65"/>
    <w:rsid w:val="003F3C45"/>
    <w:rsid w:val="003F438C"/>
    <w:rsid w:val="003F4BEF"/>
    <w:rsid w:val="003F4C47"/>
    <w:rsid w:val="003F4DBC"/>
    <w:rsid w:val="003F4E8B"/>
    <w:rsid w:val="003F5C00"/>
    <w:rsid w:val="003F694F"/>
    <w:rsid w:val="003F6DB4"/>
    <w:rsid w:val="003F713B"/>
    <w:rsid w:val="003F7421"/>
    <w:rsid w:val="003F7596"/>
    <w:rsid w:val="004008DD"/>
    <w:rsid w:val="00400B70"/>
    <w:rsid w:val="00400EF4"/>
    <w:rsid w:val="004011C8"/>
    <w:rsid w:val="004016CD"/>
    <w:rsid w:val="00401890"/>
    <w:rsid w:val="004018BF"/>
    <w:rsid w:val="00402863"/>
    <w:rsid w:val="004032BB"/>
    <w:rsid w:val="004037CA"/>
    <w:rsid w:val="00403B58"/>
    <w:rsid w:val="00403C04"/>
    <w:rsid w:val="00403D69"/>
    <w:rsid w:val="004043C5"/>
    <w:rsid w:val="00405378"/>
    <w:rsid w:val="004068C4"/>
    <w:rsid w:val="00406B90"/>
    <w:rsid w:val="00406F79"/>
    <w:rsid w:val="00406FF6"/>
    <w:rsid w:val="00407EA8"/>
    <w:rsid w:val="00407F12"/>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6606"/>
    <w:rsid w:val="00417875"/>
    <w:rsid w:val="004179DE"/>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3A4"/>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06"/>
    <w:rsid w:val="00440A4C"/>
    <w:rsid w:val="00440C6E"/>
    <w:rsid w:val="00440F0E"/>
    <w:rsid w:val="00441281"/>
    <w:rsid w:val="00441B71"/>
    <w:rsid w:val="0044354A"/>
    <w:rsid w:val="00443B9D"/>
    <w:rsid w:val="00444375"/>
    <w:rsid w:val="004444BA"/>
    <w:rsid w:val="00444625"/>
    <w:rsid w:val="004452CB"/>
    <w:rsid w:val="004458DF"/>
    <w:rsid w:val="00445ADA"/>
    <w:rsid w:val="00445BE4"/>
    <w:rsid w:val="00445FAD"/>
    <w:rsid w:val="004467F3"/>
    <w:rsid w:val="00446AFA"/>
    <w:rsid w:val="00446DAA"/>
    <w:rsid w:val="00446ED1"/>
    <w:rsid w:val="00446EE8"/>
    <w:rsid w:val="00447034"/>
    <w:rsid w:val="00447822"/>
    <w:rsid w:val="00447874"/>
    <w:rsid w:val="00450132"/>
    <w:rsid w:val="00450870"/>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98B"/>
    <w:rsid w:val="00456B8E"/>
    <w:rsid w:val="00456EF2"/>
    <w:rsid w:val="004572DE"/>
    <w:rsid w:val="00457401"/>
    <w:rsid w:val="00457518"/>
    <w:rsid w:val="00457829"/>
    <w:rsid w:val="00457920"/>
    <w:rsid w:val="004605FC"/>
    <w:rsid w:val="00460812"/>
    <w:rsid w:val="00460CED"/>
    <w:rsid w:val="0046120C"/>
    <w:rsid w:val="00461B43"/>
    <w:rsid w:val="00461F3D"/>
    <w:rsid w:val="004627EE"/>
    <w:rsid w:val="00462880"/>
    <w:rsid w:val="00462D52"/>
    <w:rsid w:val="00463139"/>
    <w:rsid w:val="00463144"/>
    <w:rsid w:val="00463490"/>
    <w:rsid w:val="00463500"/>
    <w:rsid w:val="00464808"/>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B13"/>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5EB"/>
    <w:rsid w:val="0048697E"/>
    <w:rsid w:val="00486F87"/>
    <w:rsid w:val="00486F8E"/>
    <w:rsid w:val="00487614"/>
    <w:rsid w:val="00487A0C"/>
    <w:rsid w:val="00490AC6"/>
    <w:rsid w:val="00490BE4"/>
    <w:rsid w:val="00490F0E"/>
    <w:rsid w:val="0049112B"/>
    <w:rsid w:val="00491677"/>
    <w:rsid w:val="00491E14"/>
    <w:rsid w:val="0049235A"/>
    <w:rsid w:val="0049269D"/>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6F6"/>
    <w:rsid w:val="004A3A36"/>
    <w:rsid w:val="004A400D"/>
    <w:rsid w:val="004A4AB2"/>
    <w:rsid w:val="004A4C1A"/>
    <w:rsid w:val="004A50CA"/>
    <w:rsid w:val="004A5DFC"/>
    <w:rsid w:val="004A6C15"/>
    <w:rsid w:val="004A6C3B"/>
    <w:rsid w:val="004A6EC1"/>
    <w:rsid w:val="004A7B5F"/>
    <w:rsid w:val="004B03B6"/>
    <w:rsid w:val="004B0874"/>
    <w:rsid w:val="004B0F30"/>
    <w:rsid w:val="004B10E9"/>
    <w:rsid w:val="004B11D4"/>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4FE2"/>
    <w:rsid w:val="004B5810"/>
    <w:rsid w:val="004B5F64"/>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3F0"/>
    <w:rsid w:val="004C544F"/>
    <w:rsid w:val="004C593A"/>
    <w:rsid w:val="004C5BC1"/>
    <w:rsid w:val="004C6130"/>
    <w:rsid w:val="004C6239"/>
    <w:rsid w:val="004C6987"/>
    <w:rsid w:val="004C6D0B"/>
    <w:rsid w:val="004C781B"/>
    <w:rsid w:val="004C7837"/>
    <w:rsid w:val="004C7BB9"/>
    <w:rsid w:val="004C7D97"/>
    <w:rsid w:val="004C7F3C"/>
    <w:rsid w:val="004C7F62"/>
    <w:rsid w:val="004C7FBE"/>
    <w:rsid w:val="004D02D4"/>
    <w:rsid w:val="004D0501"/>
    <w:rsid w:val="004D0752"/>
    <w:rsid w:val="004D078F"/>
    <w:rsid w:val="004D0985"/>
    <w:rsid w:val="004D0F0C"/>
    <w:rsid w:val="004D1115"/>
    <w:rsid w:val="004D1295"/>
    <w:rsid w:val="004D12C4"/>
    <w:rsid w:val="004D130C"/>
    <w:rsid w:val="004D1B39"/>
    <w:rsid w:val="004D1CA5"/>
    <w:rsid w:val="004D2222"/>
    <w:rsid w:val="004D273D"/>
    <w:rsid w:val="004D2A3C"/>
    <w:rsid w:val="004D2DED"/>
    <w:rsid w:val="004D3CDB"/>
    <w:rsid w:val="004D3F67"/>
    <w:rsid w:val="004D52B6"/>
    <w:rsid w:val="004D52D0"/>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64D"/>
    <w:rsid w:val="004F2717"/>
    <w:rsid w:val="004F2B0C"/>
    <w:rsid w:val="004F2B8F"/>
    <w:rsid w:val="004F2B9A"/>
    <w:rsid w:val="004F2C74"/>
    <w:rsid w:val="004F3F96"/>
    <w:rsid w:val="004F4518"/>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0D7"/>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CC"/>
    <w:rsid w:val="005337D2"/>
    <w:rsid w:val="00533C98"/>
    <w:rsid w:val="00534206"/>
    <w:rsid w:val="00535391"/>
    <w:rsid w:val="005358FA"/>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116"/>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39C6"/>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3599"/>
    <w:rsid w:val="00564697"/>
    <w:rsid w:val="00564AA3"/>
    <w:rsid w:val="00564EB0"/>
    <w:rsid w:val="005652FE"/>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4A80"/>
    <w:rsid w:val="0057500B"/>
    <w:rsid w:val="00576976"/>
    <w:rsid w:val="00576FE9"/>
    <w:rsid w:val="0057765A"/>
    <w:rsid w:val="005778CA"/>
    <w:rsid w:val="00580231"/>
    <w:rsid w:val="005804AD"/>
    <w:rsid w:val="0058231E"/>
    <w:rsid w:val="00583018"/>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710"/>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E30"/>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1389"/>
    <w:rsid w:val="005A3302"/>
    <w:rsid w:val="005A33B8"/>
    <w:rsid w:val="005A34A3"/>
    <w:rsid w:val="005A36A6"/>
    <w:rsid w:val="005A3D15"/>
    <w:rsid w:val="005A42B2"/>
    <w:rsid w:val="005A4458"/>
    <w:rsid w:val="005A4806"/>
    <w:rsid w:val="005A58CC"/>
    <w:rsid w:val="005A5F07"/>
    <w:rsid w:val="005A603D"/>
    <w:rsid w:val="005A60BF"/>
    <w:rsid w:val="005A676E"/>
    <w:rsid w:val="005A6A37"/>
    <w:rsid w:val="005A6F73"/>
    <w:rsid w:val="005A7895"/>
    <w:rsid w:val="005A7A37"/>
    <w:rsid w:val="005A7C05"/>
    <w:rsid w:val="005A7D84"/>
    <w:rsid w:val="005B00B3"/>
    <w:rsid w:val="005B02F8"/>
    <w:rsid w:val="005B0358"/>
    <w:rsid w:val="005B04B7"/>
    <w:rsid w:val="005B0673"/>
    <w:rsid w:val="005B0BE7"/>
    <w:rsid w:val="005B135D"/>
    <w:rsid w:val="005B1C01"/>
    <w:rsid w:val="005B1D58"/>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D7F"/>
    <w:rsid w:val="005C64CF"/>
    <w:rsid w:val="005C678B"/>
    <w:rsid w:val="005C67E4"/>
    <w:rsid w:val="005C6882"/>
    <w:rsid w:val="005C69A9"/>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34A"/>
    <w:rsid w:val="005D74DF"/>
    <w:rsid w:val="005D7E93"/>
    <w:rsid w:val="005D7F67"/>
    <w:rsid w:val="005E170A"/>
    <w:rsid w:val="005E1AAB"/>
    <w:rsid w:val="005E20F7"/>
    <w:rsid w:val="005E243E"/>
    <w:rsid w:val="005E26B2"/>
    <w:rsid w:val="005E33CE"/>
    <w:rsid w:val="005E4262"/>
    <w:rsid w:val="005E4307"/>
    <w:rsid w:val="005E498A"/>
    <w:rsid w:val="005E4A7A"/>
    <w:rsid w:val="005E57B5"/>
    <w:rsid w:val="005E5BA7"/>
    <w:rsid w:val="005E5CF7"/>
    <w:rsid w:val="005E5FD3"/>
    <w:rsid w:val="005E626F"/>
    <w:rsid w:val="005E6890"/>
    <w:rsid w:val="005E6B7D"/>
    <w:rsid w:val="005E6FCA"/>
    <w:rsid w:val="005E742B"/>
    <w:rsid w:val="005E7DFC"/>
    <w:rsid w:val="005F0344"/>
    <w:rsid w:val="005F0750"/>
    <w:rsid w:val="005F0944"/>
    <w:rsid w:val="005F095C"/>
    <w:rsid w:val="005F0AE5"/>
    <w:rsid w:val="005F14C1"/>
    <w:rsid w:val="005F165E"/>
    <w:rsid w:val="005F18FE"/>
    <w:rsid w:val="005F2095"/>
    <w:rsid w:val="005F2252"/>
    <w:rsid w:val="005F24DD"/>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1F6D"/>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536"/>
    <w:rsid w:val="006227A9"/>
    <w:rsid w:val="00622863"/>
    <w:rsid w:val="0062297B"/>
    <w:rsid w:val="00623795"/>
    <w:rsid w:val="00623874"/>
    <w:rsid w:val="006244CC"/>
    <w:rsid w:val="00624B64"/>
    <w:rsid w:val="00624C96"/>
    <w:rsid w:val="00624FA0"/>
    <w:rsid w:val="00625330"/>
    <w:rsid w:val="00625DD1"/>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1CCB"/>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135"/>
    <w:rsid w:val="006467BA"/>
    <w:rsid w:val="00646A56"/>
    <w:rsid w:val="00646B51"/>
    <w:rsid w:val="00646D2C"/>
    <w:rsid w:val="00646DFA"/>
    <w:rsid w:val="00646E35"/>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03"/>
    <w:rsid w:val="00654923"/>
    <w:rsid w:val="00654B64"/>
    <w:rsid w:val="00654B7C"/>
    <w:rsid w:val="00654C5E"/>
    <w:rsid w:val="00655B61"/>
    <w:rsid w:val="00656165"/>
    <w:rsid w:val="00656553"/>
    <w:rsid w:val="00656814"/>
    <w:rsid w:val="00656B0B"/>
    <w:rsid w:val="00656CA5"/>
    <w:rsid w:val="006575B4"/>
    <w:rsid w:val="00660937"/>
    <w:rsid w:val="00660F37"/>
    <w:rsid w:val="006615F7"/>
    <w:rsid w:val="00663048"/>
    <w:rsid w:val="00663340"/>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B16"/>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1F54"/>
    <w:rsid w:val="00692B55"/>
    <w:rsid w:val="0069438A"/>
    <w:rsid w:val="006945F4"/>
    <w:rsid w:val="00694739"/>
    <w:rsid w:val="00694896"/>
    <w:rsid w:val="00694FCC"/>
    <w:rsid w:val="00695310"/>
    <w:rsid w:val="0069594C"/>
    <w:rsid w:val="00695AD2"/>
    <w:rsid w:val="00696124"/>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3F90"/>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485"/>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0430"/>
    <w:rsid w:val="006D14D6"/>
    <w:rsid w:val="006D151A"/>
    <w:rsid w:val="006D1583"/>
    <w:rsid w:val="006D18C3"/>
    <w:rsid w:val="006D192E"/>
    <w:rsid w:val="006D1DE9"/>
    <w:rsid w:val="006D26F3"/>
    <w:rsid w:val="006D2EA6"/>
    <w:rsid w:val="006D39A0"/>
    <w:rsid w:val="006D44CC"/>
    <w:rsid w:val="006D514F"/>
    <w:rsid w:val="006D543A"/>
    <w:rsid w:val="006D5BD7"/>
    <w:rsid w:val="006D5FDD"/>
    <w:rsid w:val="006D6BAF"/>
    <w:rsid w:val="006D736A"/>
    <w:rsid w:val="006D7709"/>
    <w:rsid w:val="006D77B2"/>
    <w:rsid w:val="006D7855"/>
    <w:rsid w:val="006E0365"/>
    <w:rsid w:val="006E1776"/>
    <w:rsid w:val="006E2797"/>
    <w:rsid w:val="006E2AA1"/>
    <w:rsid w:val="006E2CAB"/>
    <w:rsid w:val="006E3276"/>
    <w:rsid w:val="006E3297"/>
    <w:rsid w:val="006E3A9F"/>
    <w:rsid w:val="006E3B9E"/>
    <w:rsid w:val="006E3FB4"/>
    <w:rsid w:val="006E4440"/>
    <w:rsid w:val="006E45FE"/>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AAC"/>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716"/>
    <w:rsid w:val="0073187E"/>
    <w:rsid w:val="007327F7"/>
    <w:rsid w:val="00732C59"/>
    <w:rsid w:val="0073389F"/>
    <w:rsid w:val="00733D6D"/>
    <w:rsid w:val="00733F26"/>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3C"/>
    <w:rsid w:val="00750C62"/>
    <w:rsid w:val="007510E3"/>
    <w:rsid w:val="00751140"/>
    <w:rsid w:val="00751BCD"/>
    <w:rsid w:val="0075204C"/>
    <w:rsid w:val="00752330"/>
    <w:rsid w:val="0075262C"/>
    <w:rsid w:val="00752D69"/>
    <w:rsid w:val="00753EF5"/>
    <w:rsid w:val="00753FC2"/>
    <w:rsid w:val="00754531"/>
    <w:rsid w:val="00754603"/>
    <w:rsid w:val="007547CB"/>
    <w:rsid w:val="00754A47"/>
    <w:rsid w:val="00754B61"/>
    <w:rsid w:val="00755784"/>
    <w:rsid w:val="0075616A"/>
    <w:rsid w:val="007566C3"/>
    <w:rsid w:val="007566FD"/>
    <w:rsid w:val="00756C9D"/>
    <w:rsid w:val="00756D1D"/>
    <w:rsid w:val="00756F46"/>
    <w:rsid w:val="0075771F"/>
    <w:rsid w:val="007578A1"/>
    <w:rsid w:val="007603A4"/>
    <w:rsid w:val="00760CC9"/>
    <w:rsid w:val="00760F69"/>
    <w:rsid w:val="00761058"/>
    <w:rsid w:val="00761311"/>
    <w:rsid w:val="007613B4"/>
    <w:rsid w:val="00761654"/>
    <w:rsid w:val="00761C93"/>
    <w:rsid w:val="00761FA3"/>
    <w:rsid w:val="00762D6A"/>
    <w:rsid w:val="00762E19"/>
    <w:rsid w:val="00762F06"/>
    <w:rsid w:val="00762FD4"/>
    <w:rsid w:val="0076390E"/>
    <w:rsid w:val="00763931"/>
    <w:rsid w:val="00763B7A"/>
    <w:rsid w:val="00764871"/>
    <w:rsid w:val="007648C8"/>
    <w:rsid w:val="00764D06"/>
    <w:rsid w:val="007655AB"/>
    <w:rsid w:val="007657B7"/>
    <w:rsid w:val="00765817"/>
    <w:rsid w:val="00765D55"/>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B1"/>
    <w:rsid w:val="007727F1"/>
    <w:rsid w:val="00772E8B"/>
    <w:rsid w:val="007732A9"/>
    <w:rsid w:val="00773493"/>
    <w:rsid w:val="0077417B"/>
    <w:rsid w:val="00774ABA"/>
    <w:rsid w:val="00774BC3"/>
    <w:rsid w:val="00774E96"/>
    <w:rsid w:val="007757D7"/>
    <w:rsid w:val="00775BA6"/>
    <w:rsid w:val="00775D71"/>
    <w:rsid w:val="00775EC6"/>
    <w:rsid w:val="0077730A"/>
    <w:rsid w:val="007774AA"/>
    <w:rsid w:val="00777D1F"/>
    <w:rsid w:val="00780419"/>
    <w:rsid w:val="007806B5"/>
    <w:rsid w:val="00781FDE"/>
    <w:rsid w:val="0078216F"/>
    <w:rsid w:val="00782194"/>
    <w:rsid w:val="00782477"/>
    <w:rsid w:val="00782676"/>
    <w:rsid w:val="007827FE"/>
    <w:rsid w:val="00782D24"/>
    <w:rsid w:val="0078359B"/>
    <w:rsid w:val="00783B30"/>
    <w:rsid w:val="0078452A"/>
    <w:rsid w:val="00785371"/>
    <w:rsid w:val="0078549C"/>
    <w:rsid w:val="007866C2"/>
    <w:rsid w:val="00786732"/>
    <w:rsid w:val="00786A50"/>
    <w:rsid w:val="00786C6B"/>
    <w:rsid w:val="00786F2B"/>
    <w:rsid w:val="00787B69"/>
    <w:rsid w:val="00787CD2"/>
    <w:rsid w:val="00787FEE"/>
    <w:rsid w:val="00790486"/>
    <w:rsid w:val="007908FB"/>
    <w:rsid w:val="00791380"/>
    <w:rsid w:val="00791443"/>
    <w:rsid w:val="007914A7"/>
    <w:rsid w:val="007915C7"/>
    <w:rsid w:val="00791872"/>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5C7"/>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34C"/>
    <w:rsid w:val="007B078D"/>
    <w:rsid w:val="007B083F"/>
    <w:rsid w:val="007B08F3"/>
    <w:rsid w:val="007B093E"/>
    <w:rsid w:val="007B13F4"/>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9D4"/>
    <w:rsid w:val="007C3A5F"/>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0FD0"/>
    <w:rsid w:val="007F199B"/>
    <w:rsid w:val="007F201F"/>
    <w:rsid w:val="007F20F1"/>
    <w:rsid w:val="007F2106"/>
    <w:rsid w:val="007F21DE"/>
    <w:rsid w:val="007F2491"/>
    <w:rsid w:val="007F28E2"/>
    <w:rsid w:val="007F2A78"/>
    <w:rsid w:val="007F2B57"/>
    <w:rsid w:val="007F2C74"/>
    <w:rsid w:val="007F2E91"/>
    <w:rsid w:val="007F2FBD"/>
    <w:rsid w:val="007F3274"/>
    <w:rsid w:val="007F3921"/>
    <w:rsid w:val="007F3A2D"/>
    <w:rsid w:val="007F3DE8"/>
    <w:rsid w:val="007F4A08"/>
    <w:rsid w:val="007F520E"/>
    <w:rsid w:val="007F5558"/>
    <w:rsid w:val="007F5686"/>
    <w:rsid w:val="007F592C"/>
    <w:rsid w:val="007F6561"/>
    <w:rsid w:val="007F6A53"/>
    <w:rsid w:val="007F6F4F"/>
    <w:rsid w:val="007F730F"/>
    <w:rsid w:val="007F76EF"/>
    <w:rsid w:val="00800005"/>
    <w:rsid w:val="008002BC"/>
    <w:rsid w:val="00800582"/>
    <w:rsid w:val="00800588"/>
    <w:rsid w:val="00800EE4"/>
    <w:rsid w:val="00801539"/>
    <w:rsid w:val="00801BB1"/>
    <w:rsid w:val="008027E7"/>
    <w:rsid w:val="0080283E"/>
    <w:rsid w:val="00802D6B"/>
    <w:rsid w:val="00803091"/>
    <w:rsid w:val="00804894"/>
    <w:rsid w:val="008052D6"/>
    <w:rsid w:val="00806026"/>
    <w:rsid w:val="008069D9"/>
    <w:rsid w:val="00806A0E"/>
    <w:rsid w:val="00807947"/>
    <w:rsid w:val="00807BF1"/>
    <w:rsid w:val="00807C8F"/>
    <w:rsid w:val="0081032A"/>
    <w:rsid w:val="008107B2"/>
    <w:rsid w:val="0081097F"/>
    <w:rsid w:val="00810B93"/>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3D7"/>
    <w:rsid w:val="00817841"/>
    <w:rsid w:val="00817EEC"/>
    <w:rsid w:val="008206AA"/>
    <w:rsid w:val="00820B5D"/>
    <w:rsid w:val="00820EF9"/>
    <w:rsid w:val="00821105"/>
    <w:rsid w:val="008212E4"/>
    <w:rsid w:val="0082156B"/>
    <w:rsid w:val="00822284"/>
    <w:rsid w:val="00823191"/>
    <w:rsid w:val="00823543"/>
    <w:rsid w:val="008236E6"/>
    <w:rsid w:val="00823F06"/>
    <w:rsid w:val="008240BC"/>
    <w:rsid w:val="00824BC5"/>
    <w:rsid w:val="008251FA"/>
    <w:rsid w:val="00825626"/>
    <w:rsid w:val="00825BE8"/>
    <w:rsid w:val="00825E95"/>
    <w:rsid w:val="0082619B"/>
    <w:rsid w:val="008262E0"/>
    <w:rsid w:val="00826B3F"/>
    <w:rsid w:val="00826B45"/>
    <w:rsid w:val="00826EC9"/>
    <w:rsid w:val="0082797E"/>
    <w:rsid w:val="008300AB"/>
    <w:rsid w:val="0083072A"/>
    <w:rsid w:val="00830ACA"/>
    <w:rsid w:val="00830AFE"/>
    <w:rsid w:val="00830CF6"/>
    <w:rsid w:val="008318D2"/>
    <w:rsid w:val="008320CA"/>
    <w:rsid w:val="00832B74"/>
    <w:rsid w:val="00832BF6"/>
    <w:rsid w:val="00832DE0"/>
    <w:rsid w:val="00833017"/>
    <w:rsid w:val="00833E34"/>
    <w:rsid w:val="00833ECB"/>
    <w:rsid w:val="00834199"/>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4E7"/>
    <w:rsid w:val="008417D6"/>
    <w:rsid w:val="0084191C"/>
    <w:rsid w:val="0084192D"/>
    <w:rsid w:val="00841A26"/>
    <w:rsid w:val="00841A67"/>
    <w:rsid w:val="00841BD0"/>
    <w:rsid w:val="00841E5F"/>
    <w:rsid w:val="00842274"/>
    <w:rsid w:val="00842374"/>
    <w:rsid w:val="008429D0"/>
    <w:rsid w:val="0084331A"/>
    <w:rsid w:val="00843647"/>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78A"/>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3B7"/>
    <w:rsid w:val="0087551E"/>
    <w:rsid w:val="0087568E"/>
    <w:rsid w:val="00875BA2"/>
    <w:rsid w:val="00875ECC"/>
    <w:rsid w:val="0087638F"/>
    <w:rsid w:val="008763EB"/>
    <w:rsid w:val="00877504"/>
    <w:rsid w:val="00877750"/>
    <w:rsid w:val="00877A1E"/>
    <w:rsid w:val="00877B49"/>
    <w:rsid w:val="0088023D"/>
    <w:rsid w:val="0088026E"/>
    <w:rsid w:val="0088083B"/>
    <w:rsid w:val="00880B8B"/>
    <w:rsid w:val="00880BAE"/>
    <w:rsid w:val="00880D13"/>
    <w:rsid w:val="00881131"/>
    <w:rsid w:val="0088158E"/>
    <w:rsid w:val="00881992"/>
    <w:rsid w:val="00881A1D"/>
    <w:rsid w:val="00881BDF"/>
    <w:rsid w:val="0088201F"/>
    <w:rsid w:val="008820E5"/>
    <w:rsid w:val="00882214"/>
    <w:rsid w:val="00882693"/>
    <w:rsid w:val="00882C3F"/>
    <w:rsid w:val="008830DE"/>
    <w:rsid w:val="008831A4"/>
    <w:rsid w:val="008837F0"/>
    <w:rsid w:val="00883C5B"/>
    <w:rsid w:val="00884C70"/>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562"/>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4B3"/>
    <w:rsid w:val="008B059C"/>
    <w:rsid w:val="008B0615"/>
    <w:rsid w:val="008B0754"/>
    <w:rsid w:val="008B0D43"/>
    <w:rsid w:val="008B1351"/>
    <w:rsid w:val="008B13A0"/>
    <w:rsid w:val="008B23F4"/>
    <w:rsid w:val="008B2662"/>
    <w:rsid w:val="008B26AE"/>
    <w:rsid w:val="008B26DF"/>
    <w:rsid w:val="008B2730"/>
    <w:rsid w:val="008B28D8"/>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330"/>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DEA"/>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E6F"/>
    <w:rsid w:val="00947145"/>
    <w:rsid w:val="00947AA9"/>
    <w:rsid w:val="00947FF8"/>
    <w:rsid w:val="009508F6"/>
    <w:rsid w:val="00951B74"/>
    <w:rsid w:val="00952558"/>
    <w:rsid w:val="00953A1D"/>
    <w:rsid w:val="00953AA5"/>
    <w:rsid w:val="00954347"/>
    <w:rsid w:val="009546C4"/>
    <w:rsid w:val="009549C0"/>
    <w:rsid w:val="00954ADC"/>
    <w:rsid w:val="00954CD2"/>
    <w:rsid w:val="009553A0"/>
    <w:rsid w:val="00955FB0"/>
    <w:rsid w:val="009560B2"/>
    <w:rsid w:val="009566D0"/>
    <w:rsid w:val="00956B19"/>
    <w:rsid w:val="00956BC2"/>
    <w:rsid w:val="00957658"/>
    <w:rsid w:val="009576DD"/>
    <w:rsid w:val="00957BA3"/>
    <w:rsid w:val="00957D1F"/>
    <w:rsid w:val="00960064"/>
    <w:rsid w:val="00960236"/>
    <w:rsid w:val="00961432"/>
    <w:rsid w:val="00961819"/>
    <w:rsid w:val="009618FD"/>
    <w:rsid w:val="00961BC4"/>
    <w:rsid w:val="00961D41"/>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4AC"/>
    <w:rsid w:val="0097254A"/>
    <w:rsid w:val="009728E5"/>
    <w:rsid w:val="00972E1E"/>
    <w:rsid w:val="009730AF"/>
    <w:rsid w:val="00973944"/>
    <w:rsid w:val="00973A39"/>
    <w:rsid w:val="00973DA9"/>
    <w:rsid w:val="00974042"/>
    <w:rsid w:val="00975112"/>
    <w:rsid w:val="009751C7"/>
    <w:rsid w:val="00975244"/>
    <w:rsid w:val="009753FF"/>
    <w:rsid w:val="00975440"/>
    <w:rsid w:val="00975710"/>
    <w:rsid w:val="00975979"/>
    <w:rsid w:val="00975E73"/>
    <w:rsid w:val="0097678B"/>
    <w:rsid w:val="00976B84"/>
    <w:rsid w:val="009772B3"/>
    <w:rsid w:val="00977397"/>
    <w:rsid w:val="00977806"/>
    <w:rsid w:val="00980758"/>
    <w:rsid w:val="00980D25"/>
    <w:rsid w:val="00981467"/>
    <w:rsid w:val="009814DA"/>
    <w:rsid w:val="00981582"/>
    <w:rsid w:val="009817F0"/>
    <w:rsid w:val="00981C6D"/>
    <w:rsid w:val="00981D2E"/>
    <w:rsid w:val="0098264D"/>
    <w:rsid w:val="009826F3"/>
    <w:rsid w:val="00982A2D"/>
    <w:rsid w:val="00982B58"/>
    <w:rsid w:val="00982D99"/>
    <w:rsid w:val="009831CD"/>
    <w:rsid w:val="009831FA"/>
    <w:rsid w:val="0098321D"/>
    <w:rsid w:val="00983C57"/>
    <w:rsid w:val="00983F28"/>
    <w:rsid w:val="00983FDC"/>
    <w:rsid w:val="009844C6"/>
    <w:rsid w:val="009844FB"/>
    <w:rsid w:val="00984982"/>
    <w:rsid w:val="00984B85"/>
    <w:rsid w:val="00984FAA"/>
    <w:rsid w:val="00985010"/>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6BF4"/>
    <w:rsid w:val="0099780E"/>
    <w:rsid w:val="009978A5"/>
    <w:rsid w:val="0099794D"/>
    <w:rsid w:val="00997CEC"/>
    <w:rsid w:val="009A05A5"/>
    <w:rsid w:val="009A0788"/>
    <w:rsid w:val="009A0A98"/>
    <w:rsid w:val="009A1B42"/>
    <w:rsid w:val="009A1F74"/>
    <w:rsid w:val="009A21B6"/>
    <w:rsid w:val="009A22AE"/>
    <w:rsid w:val="009A2576"/>
    <w:rsid w:val="009A2668"/>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455"/>
    <w:rsid w:val="009B5637"/>
    <w:rsid w:val="009B5E10"/>
    <w:rsid w:val="009B5F73"/>
    <w:rsid w:val="009B6450"/>
    <w:rsid w:val="009B6B3E"/>
    <w:rsid w:val="009B6D92"/>
    <w:rsid w:val="009B707B"/>
    <w:rsid w:val="009B7120"/>
    <w:rsid w:val="009C02DE"/>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979"/>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F83"/>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4FE"/>
    <w:rsid w:val="009F5CF4"/>
    <w:rsid w:val="009F6C8C"/>
    <w:rsid w:val="009F775D"/>
    <w:rsid w:val="009F7AC3"/>
    <w:rsid w:val="009F7AC6"/>
    <w:rsid w:val="009F7B1E"/>
    <w:rsid w:val="00A009A3"/>
    <w:rsid w:val="00A009EC"/>
    <w:rsid w:val="00A00C23"/>
    <w:rsid w:val="00A01012"/>
    <w:rsid w:val="00A01024"/>
    <w:rsid w:val="00A0143D"/>
    <w:rsid w:val="00A0166A"/>
    <w:rsid w:val="00A01B52"/>
    <w:rsid w:val="00A01D7C"/>
    <w:rsid w:val="00A021C9"/>
    <w:rsid w:val="00A02330"/>
    <w:rsid w:val="00A03060"/>
    <w:rsid w:val="00A03597"/>
    <w:rsid w:val="00A035E7"/>
    <w:rsid w:val="00A03721"/>
    <w:rsid w:val="00A03AEC"/>
    <w:rsid w:val="00A03B97"/>
    <w:rsid w:val="00A03D26"/>
    <w:rsid w:val="00A03D6C"/>
    <w:rsid w:val="00A040AD"/>
    <w:rsid w:val="00A0475A"/>
    <w:rsid w:val="00A054ED"/>
    <w:rsid w:val="00A05588"/>
    <w:rsid w:val="00A05A49"/>
    <w:rsid w:val="00A061B6"/>
    <w:rsid w:val="00A06D6C"/>
    <w:rsid w:val="00A06E27"/>
    <w:rsid w:val="00A07726"/>
    <w:rsid w:val="00A07AD2"/>
    <w:rsid w:val="00A107B5"/>
    <w:rsid w:val="00A10E85"/>
    <w:rsid w:val="00A10FAB"/>
    <w:rsid w:val="00A1127E"/>
    <w:rsid w:val="00A11732"/>
    <w:rsid w:val="00A11AC9"/>
    <w:rsid w:val="00A11C70"/>
    <w:rsid w:val="00A11E74"/>
    <w:rsid w:val="00A12766"/>
    <w:rsid w:val="00A1295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0399"/>
    <w:rsid w:val="00A21831"/>
    <w:rsid w:val="00A22CC2"/>
    <w:rsid w:val="00A22F95"/>
    <w:rsid w:val="00A22FA8"/>
    <w:rsid w:val="00A23226"/>
    <w:rsid w:val="00A2330C"/>
    <w:rsid w:val="00A23F6B"/>
    <w:rsid w:val="00A2487F"/>
    <w:rsid w:val="00A260BC"/>
    <w:rsid w:val="00A262AA"/>
    <w:rsid w:val="00A263F4"/>
    <w:rsid w:val="00A26427"/>
    <w:rsid w:val="00A26BAC"/>
    <w:rsid w:val="00A26BAE"/>
    <w:rsid w:val="00A26EDF"/>
    <w:rsid w:val="00A273E8"/>
    <w:rsid w:val="00A275C3"/>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375F0"/>
    <w:rsid w:val="00A4090A"/>
    <w:rsid w:val="00A409D1"/>
    <w:rsid w:val="00A40CA8"/>
    <w:rsid w:val="00A40F4D"/>
    <w:rsid w:val="00A41EBA"/>
    <w:rsid w:val="00A42B82"/>
    <w:rsid w:val="00A432D5"/>
    <w:rsid w:val="00A43460"/>
    <w:rsid w:val="00A4395C"/>
    <w:rsid w:val="00A44215"/>
    <w:rsid w:val="00A44295"/>
    <w:rsid w:val="00A44365"/>
    <w:rsid w:val="00A447B9"/>
    <w:rsid w:val="00A447CD"/>
    <w:rsid w:val="00A44EBC"/>
    <w:rsid w:val="00A4502F"/>
    <w:rsid w:val="00A450E9"/>
    <w:rsid w:val="00A45A08"/>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6F28"/>
    <w:rsid w:val="00A577E8"/>
    <w:rsid w:val="00A602B5"/>
    <w:rsid w:val="00A6172B"/>
    <w:rsid w:val="00A6175A"/>
    <w:rsid w:val="00A61847"/>
    <w:rsid w:val="00A61C05"/>
    <w:rsid w:val="00A61F26"/>
    <w:rsid w:val="00A620A9"/>
    <w:rsid w:val="00A623C4"/>
    <w:rsid w:val="00A6293D"/>
    <w:rsid w:val="00A62AAC"/>
    <w:rsid w:val="00A633C2"/>
    <w:rsid w:val="00A636B9"/>
    <w:rsid w:val="00A63C8E"/>
    <w:rsid w:val="00A63FFE"/>
    <w:rsid w:val="00A6408C"/>
    <w:rsid w:val="00A6472B"/>
    <w:rsid w:val="00A64AC2"/>
    <w:rsid w:val="00A653EB"/>
    <w:rsid w:val="00A659CC"/>
    <w:rsid w:val="00A65A46"/>
    <w:rsid w:val="00A65D4B"/>
    <w:rsid w:val="00A66456"/>
    <w:rsid w:val="00A66BC8"/>
    <w:rsid w:val="00A67A32"/>
    <w:rsid w:val="00A7016B"/>
    <w:rsid w:val="00A70209"/>
    <w:rsid w:val="00A70AD6"/>
    <w:rsid w:val="00A717A1"/>
    <w:rsid w:val="00A71DBD"/>
    <w:rsid w:val="00A720AA"/>
    <w:rsid w:val="00A72722"/>
    <w:rsid w:val="00A7273D"/>
    <w:rsid w:val="00A729C4"/>
    <w:rsid w:val="00A72B63"/>
    <w:rsid w:val="00A72BC6"/>
    <w:rsid w:val="00A73ACF"/>
    <w:rsid w:val="00A73C96"/>
    <w:rsid w:val="00A73E6F"/>
    <w:rsid w:val="00A744A8"/>
    <w:rsid w:val="00A745E5"/>
    <w:rsid w:val="00A74E2A"/>
    <w:rsid w:val="00A763AE"/>
    <w:rsid w:val="00A7658A"/>
    <w:rsid w:val="00A768C0"/>
    <w:rsid w:val="00A76E7F"/>
    <w:rsid w:val="00A77484"/>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0DF"/>
    <w:rsid w:val="00A822E1"/>
    <w:rsid w:val="00A826DA"/>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50"/>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A09"/>
    <w:rsid w:val="00AA1B7E"/>
    <w:rsid w:val="00AA1C2F"/>
    <w:rsid w:val="00AA211D"/>
    <w:rsid w:val="00AA231B"/>
    <w:rsid w:val="00AA2337"/>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4B4"/>
    <w:rsid w:val="00AB0626"/>
    <w:rsid w:val="00AB0D8A"/>
    <w:rsid w:val="00AB0EEB"/>
    <w:rsid w:val="00AB10AC"/>
    <w:rsid w:val="00AB11E6"/>
    <w:rsid w:val="00AB1519"/>
    <w:rsid w:val="00AB19E1"/>
    <w:rsid w:val="00AB1AE6"/>
    <w:rsid w:val="00AB1B19"/>
    <w:rsid w:val="00AB1E3C"/>
    <w:rsid w:val="00AB22A3"/>
    <w:rsid w:val="00AB2875"/>
    <w:rsid w:val="00AB2E44"/>
    <w:rsid w:val="00AB3622"/>
    <w:rsid w:val="00AB37D9"/>
    <w:rsid w:val="00AB3E77"/>
    <w:rsid w:val="00AB3EA5"/>
    <w:rsid w:val="00AB3F45"/>
    <w:rsid w:val="00AB3F84"/>
    <w:rsid w:val="00AB4182"/>
    <w:rsid w:val="00AB4482"/>
    <w:rsid w:val="00AB46C6"/>
    <w:rsid w:val="00AB46D1"/>
    <w:rsid w:val="00AB5206"/>
    <w:rsid w:val="00AB5603"/>
    <w:rsid w:val="00AB5782"/>
    <w:rsid w:val="00AB5869"/>
    <w:rsid w:val="00AB65DC"/>
    <w:rsid w:val="00AB6CF8"/>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3CAD"/>
    <w:rsid w:val="00AC489C"/>
    <w:rsid w:val="00AC4FAC"/>
    <w:rsid w:val="00AC51C3"/>
    <w:rsid w:val="00AC5CAF"/>
    <w:rsid w:val="00AC62FE"/>
    <w:rsid w:val="00AC6E69"/>
    <w:rsid w:val="00AC705E"/>
    <w:rsid w:val="00AC750A"/>
    <w:rsid w:val="00AC76F2"/>
    <w:rsid w:val="00AC7972"/>
    <w:rsid w:val="00AC7E57"/>
    <w:rsid w:val="00AD00A3"/>
    <w:rsid w:val="00AD0460"/>
    <w:rsid w:val="00AD054C"/>
    <w:rsid w:val="00AD06E3"/>
    <w:rsid w:val="00AD0971"/>
    <w:rsid w:val="00AD0AF8"/>
    <w:rsid w:val="00AD0D65"/>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1ECD"/>
    <w:rsid w:val="00AE2039"/>
    <w:rsid w:val="00AE347B"/>
    <w:rsid w:val="00AE36FC"/>
    <w:rsid w:val="00AE3971"/>
    <w:rsid w:val="00AE3CE0"/>
    <w:rsid w:val="00AE410C"/>
    <w:rsid w:val="00AE4B71"/>
    <w:rsid w:val="00AE4E73"/>
    <w:rsid w:val="00AE5191"/>
    <w:rsid w:val="00AE5EBB"/>
    <w:rsid w:val="00AE6180"/>
    <w:rsid w:val="00AE620E"/>
    <w:rsid w:val="00AE67C5"/>
    <w:rsid w:val="00AE698A"/>
    <w:rsid w:val="00AE6A63"/>
    <w:rsid w:val="00AE6F00"/>
    <w:rsid w:val="00AE776B"/>
    <w:rsid w:val="00AF00DF"/>
    <w:rsid w:val="00AF01D1"/>
    <w:rsid w:val="00AF02B1"/>
    <w:rsid w:val="00AF1505"/>
    <w:rsid w:val="00AF1BCC"/>
    <w:rsid w:val="00AF1D84"/>
    <w:rsid w:val="00AF2455"/>
    <w:rsid w:val="00AF2DB5"/>
    <w:rsid w:val="00AF2F3D"/>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1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0C7"/>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08D"/>
    <w:rsid w:val="00B211B4"/>
    <w:rsid w:val="00B21371"/>
    <w:rsid w:val="00B21615"/>
    <w:rsid w:val="00B21654"/>
    <w:rsid w:val="00B22223"/>
    <w:rsid w:val="00B22EC0"/>
    <w:rsid w:val="00B23352"/>
    <w:rsid w:val="00B23389"/>
    <w:rsid w:val="00B234C8"/>
    <w:rsid w:val="00B23523"/>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18"/>
    <w:rsid w:val="00B32E47"/>
    <w:rsid w:val="00B33314"/>
    <w:rsid w:val="00B3359A"/>
    <w:rsid w:val="00B33D8C"/>
    <w:rsid w:val="00B33E6D"/>
    <w:rsid w:val="00B34178"/>
    <w:rsid w:val="00B341E4"/>
    <w:rsid w:val="00B35414"/>
    <w:rsid w:val="00B35711"/>
    <w:rsid w:val="00B3593D"/>
    <w:rsid w:val="00B35C8C"/>
    <w:rsid w:val="00B35CBE"/>
    <w:rsid w:val="00B35D6E"/>
    <w:rsid w:val="00B36666"/>
    <w:rsid w:val="00B36A7C"/>
    <w:rsid w:val="00B36CFA"/>
    <w:rsid w:val="00B36EFC"/>
    <w:rsid w:val="00B373B1"/>
    <w:rsid w:val="00B37489"/>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0CB"/>
    <w:rsid w:val="00B4669F"/>
    <w:rsid w:val="00B46825"/>
    <w:rsid w:val="00B473D6"/>
    <w:rsid w:val="00B47889"/>
    <w:rsid w:val="00B478B2"/>
    <w:rsid w:val="00B47FF7"/>
    <w:rsid w:val="00B50643"/>
    <w:rsid w:val="00B5091F"/>
    <w:rsid w:val="00B51269"/>
    <w:rsid w:val="00B51352"/>
    <w:rsid w:val="00B516B6"/>
    <w:rsid w:val="00B51C56"/>
    <w:rsid w:val="00B51D5E"/>
    <w:rsid w:val="00B51EFD"/>
    <w:rsid w:val="00B52673"/>
    <w:rsid w:val="00B531D7"/>
    <w:rsid w:val="00B53623"/>
    <w:rsid w:val="00B5368B"/>
    <w:rsid w:val="00B53B9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651"/>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6C96"/>
    <w:rsid w:val="00B67370"/>
    <w:rsid w:val="00B70510"/>
    <w:rsid w:val="00B71067"/>
    <w:rsid w:val="00B716AA"/>
    <w:rsid w:val="00B718C0"/>
    <w:rsid w:val="00B72030"/>
    <w:rsid w:val="00B7228B"/>
    <w:rsid w:val="00B72578"/>
    <w:rsid w:val="00B72626"/>
    <w:rsid w:val="00B7348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E83"/>
    <w:rsid w:val="00B8057D"/>
    <w:rsid w:val="00B80772"/>
    <w:rsid w:val="00B80A41"/>
    <w:rsid w:val="00B80AC9"/>
    <w:rsid w:val="00B80B56"/>
    <w:rsid w:val="00B80F07"/>
    <w:rsid w:val="00B810C1"/>
    <w:rsid w:val="00B810F4"/>
    <w:rsid w:val="00B812AF"/>
    <w:rsid w:val="00B8150F"/>
    <w:rsid w:val="00B81DDD"/>
    <w:rsid w:val="00B8214A"/>
    <w:rsid w:val="00B824FB"/>
    <w:rsid w:val="00B82880"/>
    <w:rsid w:val="00B82A11"/>
    <w:rsid w:val="00B82A84"/>
    <w:rsid w:val="00B82C0D"/>
    <w:rsid w:val="00B82F05"/>
    <w:rsid w:val="00B8303D"/>
    <w:rsid w:val="00B833C2"/>
    <w:rsid w:val="00B833C7"/>
    <w:rsid w:val="00B837B1"/>
    <w:rsid w:val="00B839FF"/>
    <w:rsid w:val="00B84486"/>
    <w:rsid w:val="00B84712"/>
    <w:rsid w:val="00B84CEC"/>
    <w:rsid w:val="00B84D5B"/>
    <w:rsid w:val="00B850BB"/>
    <w:rsid w:val="00B850D0"/>
    <w:rsid w:val="00B850E3"/>
    <w:rsid w:val="00B85740"/>
    <w:rsid w:val="00B85973"/>
    <w:rsid w:val="00B85D77"/>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6C9"/>
    <w:rsid w:val="00B97478"/>
    <w:rsid w:val="00B97B61"/>
    <w:rsid w:val="00B97CCB"/>
    <w:rsid w:val="00BA00B1"/>
    <w:rsid w:val="00BA10B3"/>
    <w:rsid w:val="00BA15B6"/>
    <w:rsid w:val="00BA1B58"/>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16D"/>
    <w:rsid w:val="00BC1774"/>
    <w:rsid w:val="00BC1E04"/>
    <w:rsid w:val="00BC25CB"/>
    <w:rsid w:val="00BC27A9"/>
    <w:rsid w:val="00BC374E"/>
    <w:rsid w:val="00BC3B54"/>
    <w:rsid w:val="00BC42CB"/>
    <w:rsid w:val="00BC4DB4"/>
    <w:rsid w:val="00BC4F0D"/>
    <w:rsid w:val="00BC52B3"/>
    <w:rsid w:val="00BC5AE6"/>
    <w:rsid w:val="00BC62A7"/>
    <w:rsid w:val="00BC62E9"/>
    <w:rsid w:val="00BC6336"/>
    <w:rsid w:val="00BC650E"/>
    <w:rsid w:val="00BC6699"/>
    <w:rsid w:val="00BC6BDF"/>
    <w:rsid w:val="00BC704D"/>
    <w:rsid w:val="00BC7498"/>
    <w:rsid w:val="00BC7D12"/>
    <w:rsid w:val="00BC7DB8"/>
    <w:rsid w:val="00BD0009"/>
    <w:rsid w:val="00BD0035"/>
    <w:rsid w:val="00BD0065"/>
    <w:rsid w:val="00BD0694"/>
    <w:rsid w:val="00BD075E"/>
    <w:rsid w:val="00BD0766"/>
    <w:rsid w:val="00BD0808"/>
    <w:rsid w:val="00BD1C88"/>
    <w:rsid w:val="00BD1E2E"/>
    <w:rsid w:val="00BD2138"/>
    <w:rsid w:val="00BD2367"/>
    <w:rsid w:val="00BD2823"/>
    <w:rsid w:val="00BD2870"/>
    <w:rsid w:val="00BD2CDC"/>
    <w:rsid w:val="00BD30D4"/>
    <w:rsid w:val="00BD3281"/>
    <w:rsid w:val="00BD33E3"/>
    <w:rsid w:val="00BD3F02"/>
    <w:rsid w:val="00BD43DB"/>
    <w:rsid w:val="00BD4573"/>
    <w:rsid w:val="00BD5F6A"/>
    <w:rsid w:val="00BD6F1A"/>
    <w:rsid w:val="00BD708F"/>
    <w:rsid w:val="00BD74AF"/>
    <w:rsid w:val="00BE1071"/>
    <w:rsid w:val="00BE167A"/>
    <w:rsid w:val="00BE1A2F"/>
    <w:rsid w:val="00BE287D"/>
    <w:rsid w:val="00BE2AFA"/>
    <w:rsid w:val="00BE2E81"/>
    <w:rsid w:val="00BE357F"/>
    <w:rsid w:val="00BE3B7E"/>
    <w:rsid w:val="00BE3D4F"/>
    <w:rsid w:val="00BE3F78"/>
    <w:rsid w:val="00BE445E"/>
    <w:rsid w:val="00BE44B2"/>
    <w:rsid w:val="00BE6F17"/>
    <w:rsid w:val="00BE7ABA"/>
    <w:rsid w:val="00BE7AE5"/>
    <w:rsid w:val="00BF031D"/>
    <w:rsid w:val="00BF0F16"/>
    <w:rsid w:val="00BF22E1"/>
    <w:rsid w:val="00BF2BA6"/>
    <w:rsid w:val="00BF2C0A"/>
    <w:rsid w:val="00BF360E"/>
    <w:rsid w:val="00BF3A7A"/>
    <w:rsid w:val="00BF44E8"/>
    <w:rsid w:val="00BF48EE"/>
    <w:rsid w:val="00BF564D"/>
    <w:rsid w:val="00BF5998"/>
    <w:rsid w:val="00BF59B1"/>
    <w:rsid w:val="00BF6372"/>
    <w:rsid w:val="00BF6C86"/>
    <w:rsid w:val="00BF6F6E"/>
    <w:rsid w:val="00BF7144"/>
    <w:rsid w:val="00C00B0A"/>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2A1"/>
    <w:rsid w:val="00C14308"/>
    <w:rsid w:val="00C14642"/>
    <w:rsid w:val="00C15342"/>
    <w:rsid w:val="00C15F08"/>
    <w:rsid w:val="00C171D7"/>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309"/>
    <w:rsid w:val="00C25C46"/>
    <w:rsid w:val="00C26A33"/>
    <w:rsid w:val="00C26A9C"/>
    <w:rsid w:val="00C275BA"/>
    <w:rsid w:val="00C27C66"/>
    <w:rsid w:val="00C300A6"/>
    <w:rsid w:val="00C3071D"/>
    <w:rsid w:val="00C30ECD"/>
    <w:rsid w:val="00C30F7A"/>
    <w:rsid w:val="00C323A9"/>
    <w:rsid w:val="00C329C7"/>
    <w:rsid w:val="00C32D5B"/>
    <w:rsid w:val="00C335B8"/>
    <w:rsid w:val="00C33D35"/>
    <w:rsid w:val="00C34BAD"/>
    <w:rsid w:val="00C353B2"/>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5C6"/>
    <w:rsid w:val="00C5096B"/>
    <w:rsid w:val="00C50C88"/>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55B"/>
    <w:rsid w:val="00C658DC"/>
    <w:rsid w:val="00C66D8A"/>
    <w:rsid w:val="00C66EEE"/>
    <w:rsid w:val="00C67430"/>
    <w:rsid w:val="00C677D4"/>
    <w:rsid w:val="00C67909"/>
    <w:rsid w:val="00C67C9C"/>
    <w:rsid w:val="00C70195"/>
    <w:rsid w:val="00C70BAA"/>
    <w:rsid w:val="00C71526"/>
    <w:rsid w:val="00C720CD"/>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4AE"/>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501"/>
    <w:rsid w:val="00C82AF0"/>
    <w:rsid w:val="00C82E64"/>
    <w:rsid w:val="00C82F76"/>
    <w:rsid w:val="00C83763"/>
    <w:rsid w:val="00C83794"/>
    <w:rsid w:val="00C8419D"/>
    <w:rsid w:val="00C84572"/>
    <w:rsid w:val="00C84584"/>
    <w:rsid w:val="00C84D7F"/>
    <w:rsid w:val="00C84EDF"/>
    <w:rsid w:val="00C85213"/>
    <w:rsid w:val="00C8575B"/>
    <w:rsid w:val="00C85D37"/>
    <w:rsid w:val="00C85E88"/>
    <w:rsid w:val="00C8684D"/>
    <w:rsid w:val="00C87250"/>
    <w:rsid w:val="00C87EED"/>
    <w:rsid w:val="00C87FBE"/>
    <w:rsid w:val="00C901E1"/>
    <w:rsid w:val="00C9052D"/>
    <w:rsid w:val="00C906F5"/>
    <w:rsid w:val="00C908E4"/>
    <w:rsid w:val="00C90C71"/>
    <w:rsid w:val="00C90F66"/>
    <w:rsid w:val="00C91EAF"/>
    <w:rsid w:val="00C91FF5"/>
    <w:rsid w:val="00C92285"/>
    <w:rsid w:val="00C9332F"/>
    <w:rsid w:val="00C93598"/>
    <w:rsid w:val="00C93CF8"/>
    <w:rsid w:val="00C941A5"/>
    <w:rsid w:val="00C9454F"/>
    <w:rsid w:val="00C949EB"/>
    <w:rsid w:val="00C95381"/>
    <w:rsid w:val="00C96C7A"/>
    <w:rsid w:val="00C96D02"/>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2EBB"/>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435"/>
    <w:rsid w:val="00CB0CE9"/>
    <w:rsid w:val="00CB0E49"/>
    <w:rsid w:val="00CB152F"/>
    <w:rsid w:val="00CB1730"/>
    <w:rsid w:val="00CB1B13"/>
    <w:rsid w:val="00CB1BB8"/>
    <w:rsid w:val="00CB2129"/>
    <w:rsid w:val="00CB25F2"/>
    <w:rsid w:val="00CB2CC3"/>
    <w:rsid w:val="00CB2E09"/>
    <w:rsid w:val="00CB308E"/>
    <w:rsid w:val="00CB316B"/>
    <w:rsid w:val="00CB31A9"/>
    <w:rsid w:val="00CB31BD"/>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CDC"/>
    <w:rsid w:val="00CC1FE2"/>
    <w:rsid w:val="00CC25B1"/>
    <w:rsid w:val="00CC27C1"/>
    <w:rsid w:val="00CC290C"/>
    <w:rsid w:val="00CC2CEC"/>
    <w:rsid w:val="00CC2FFA"/>
    <w:rsid w:val="00CC36D2"/>
    <w:rsid w:val="00CC3939"/>
    <w:rsid w:val="00CC447F"/>
    <w:rsid w:val="00CC4774"/>
    <w:rsid w:val="00CC4C50"/>
    <w:rsid w:val="00CC4E23"/>
    <w:rsid w:val="00CC5016"/>
    <w:rsid w:val="00CC551B"/>
    <w:rsid w:val="00CC58B8"/>
    <w:rsid w:val="00CC5F7E"/>
    <w:rsid w:val="00CC682C"/>
    <w:rsid w:val="00CC6FC5"/>
    <w:rsid w:val="00CC7392"/>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30C"/>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FF6"/>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7F2"/>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9B0"/>
    <w:rsid w:val="00D05D41"/>
    <w:rsid w:val="00D063F4"/>
    <w:rsid w:val="00D064ED"/>
    <w:rsid w:val="00D06EE1"/>
    <w:rsid w:val="00D06F02"/>
    <w:rsid w:val="00D07873"/>
    <w:rsid w:val="00D07C89"/>
    <w:rsid w:val="00D07FD9"/>
    <w:rsid w:val="00D1002F"/>
    <w:rsid w:val="00D10A11"/>
    <w:rsid w:val="00D111B9"/>
    <w:rsid w:val="00D1152D"/>
    <w:rsid w:val="00D11650"/>
    <w:rsid w:val="00D11C66"/>
    <w:rsid w:val="00D12254"/>
    <w:rsid w:val="00D128D5"/>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BB1"/>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3FD"/>
    <w:rsid w:val="00D247CC"/>
    <w:rsid w:val="00D249BB"/>
    <w:rsid w:val="00D24EE9"/>
    <w:rsid w:val="00D24EFD"/>
    <w:rsid w:val="00D25A07"/>
    <w:rsid w:val="00D26180"/>
    <w:rsid w:val="00D265C9"/>
    <w:rsid w:val="00D26EFC"/>
    <w:rsid w:val="00D27777"/>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0F"/>
    <w:rsid w:val="00D36B50"/>
    <w:rsid w:val="00D3711D"/>
    <w:rsid w:val="00D37279"/>
    <w:rsid w:val="00D37550"/>
    <w:rsid w:val="00D37CAD"/>
    <w:rsid w:val="00D37EF7"/>
    <w:rsid w:val="00D4005E"/>
    <w:rsid w:val="00D40114"/>
    <w:rsid w:val="00D404D2"/>
    <w:rsid w:val="00D4096E"/>
    <w:rsid w:val="00D40AD3"/>
    <w:rsid w:val="00D40DE9"/>
    <w:rsid w:val="00D40F95"/>
    <w:rsid w:val="00D4150E"/>
    <w:rsid w:val="00D42589"/>
    <w:rsid w:val="00D4316D"/>
    <w:rsid w:val="00D4375C"/>
    <w:rsid w:val="00D44196"/>
    <w:rsid w:val="00D44384"/>
    <w:rsid w:val="00D44923"/>
    <w:rsid w:val="00D44E12"/>
    <w:rsid w:val="00D451E0"/>
    <w:rsid w:val="00D45542"/>
    <w:rsid w:val="00D456E7"/>
    <w:rsid w:val="00D45D2E"/>
    <w:rsid w:val="00D45D69"/>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57C7D"/>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2B5"/>
    <w:rsid w:val="00D6675D"/>
    <w:rsid w:val="00D677F8"/>
    <w:rsid w:val="00D679A6"/>
    <w:rsid w:val="00D70339"/>
    <w:rsid w:val="00D704E6"/>
    <w:rsid w:val="00D70A03"/>
    <w:rsid w:val="00D70F01"/>
    <w:rsid w:val="00D71467"/>
    <w:rsid w:val="00D71545"/>
    <w:rsid w:val="00D720FD"/>
    <w:rsid w:val="00D727E3"/>
    <w:rsid w:val="00D72A5B"/>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1F9E"/>
    <w:rsid w:val="00D8247D"/>
    <w:rsid w:val="00D825A8"/>
    <w:rsid w:val="00D82793"/>
    <w:rsid w:val="00D830A8"/>
    <w:rsid w:val="00D832BC"/>
    <w:rsid w:val="00D832CF"/>
    <w:rsid w:val="00D83858"/>
    <w:rsid w:val="00D83964"/>
    <w:rsid w:val="00D83E08"/>
    <w:rsid w:val="00D83E36"/>
    <w:rsid w:val="00D84365"/>
    <w:rsid w:val="00D84595"/>
    <w:rsid w:val="00D84971"/>
    <w:rsid w:val="00D854B3"/>
    <w:rsid w:val="00D8587C"/>
    <w:rsid w:val="00D85A43"/>
    <w:rsid w:val="00D85C61"/>
    <w:rsid w:val="00D85ECA"/>
    <w:rsid w:val="00D86315"/>
    <w:rsid w:val="00D863B5"/>
    <w:rsid w:val="00D86953"/>
    <w:rsid w:val="00D869F2"/>
    <w:rsid w:val="00D86D16"/>
    <w:rsid w:val="00D875E2"/>
    <w:rsid w:val="00D87BF4"/>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6EF"/>
    <w:rsid w:val="00DA3919"/>
    <w:rsid w:val="00DA43CD"/>
    <w:rsid w:val="00DA4974"/>
    <w:rsid w:val="00DA555A"/>
    <w:rsid w:val="00DA5F29"/>
    <w:rsid w:val="00DA619A"/>
    <w:rsid w:val="00DA61B5"/>
    <w:rsid w:val="00DA6222"/>
    <w:rsid w:val="00DA6AC2"/>
    <w:rsid w:val="00DA6D3E"/>
    <w:rsid w:val="00DA6FD3"/>
    <w:rsid w:val="00DA72DB"/>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69E"/>
    <w:rsid w:val="00DC7B1D"/>
    <w:rsid w:val="00DC7C92"/>
    <w:rsid w:val="00DC7D05"/>
    <w:rsid w:val="00DD0651"/>
    <w:rsid w:val="00DD090C"/>
    <w:rsid w:val="00DD0F49"/>
    <w:rsid w:val="00DD1034"/>
    <w:rsid w:val="00DD148E"/>
    <w:rsid w:val="00DD1AF0"/>
    <w:rsid w:val="00DD1C79"/>
    <w:rsid w:val="00DD2F7F"/>
    <w:rsid w:val="00DD38C5"/>
    <w:rsid w:val="00DD3D2D"/>
    <w:rsid w:val="00DD3FFC"/>
    <w:rsid w:val="00DD4513"/>
    <w:rsid w:val="00DD4760"/>
    <w:rsid w:val="00DD5042"/>
    <w:rsid w:val="00DD5BF7"/>
    <w:rsid w:val="00DD5FFA"/>
    <w:rsid w:val="00DD68F4"/>
    <w:rsid w:val="00DD73DE"/>
    <w:rsid w:val="00DD7950"/>
    <w:rsid w:val="00DE059B"/>
    <w:rsid w:val="00DE0713"/>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5F8B"/>
    <w:rsid w:val="00DE6C67"/>
    <w:rsid w:val="00DE7275"/>
    <w:rsid w:val="00DE7D48"/>
    <w:rsid w:val="00DF0680"/>
    <w:rsid w:val="00DF1561"/>
    <w:rsid w:val="00DF1F5A"/>
    <w:rsid w:val="00DF257F"/>
    <w:rsid w:val="00DF39D2"/>
    <w:rsid w:val="00DF3C21"/>
    <w:rsid w:val="00DF427E"/>
    <w:rsid w:val="00DF44BA"/>
    <w:rsid w:val="00DF4E77"/>
    <w:rsid w:val="00DF4F72"/>
    <w:rsid w:val="00DF5741"/>
    <w:rsid w:val="00DF5949"/>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86B"/>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35"/>
    <w:rsid w:val="00E16E5A"/>
    <w:rsid w:val="00E16E9F"/>
    <w:rsid w:val="00E172D2"/>
    <w:rsid w:val="00E17443"/>
    <w:rsid w:val="00E177A7"/>
    <w:rsid w:val="00E179A7"/>
    <w:rsid w:val="00E17A66"/>
    <w:rsid w:val="00E17E6C"/>
    <w:rsid w:val="00E17F64"/>
    <w:rsid w:val="00E200E1"/>
    <w:rsid w:val="00E207D9"/>
    <w:rsid w:val="00E20E04"/>
    <w:rsid w:val="00E21178"/>
    <w:rsid w:val="00E213A9"/>
    <w:rsid w:val="00E2187E"/>
    <w:rsid w:val="00E21CEA"/>
    <w:rsid w:val="00E21DB1"/>
    <w:rsid w:val="00E22054"/>
    <w:rsid w:val="00E224A8"/>
    <w:rsid w:val="00E22A7E"/>
    <w:rsid w:val="00E2311F"/>
    <w:rsid w:val="00E2318D"/>
    <w:rsid w:val="00E239B2"/>
    <w:rsid w:val="00E23B86"/>
    <w:rsid w:val="00E24058"/>
    <w:rsid w:val="00E242C6"/>
    <w:rsid w:val="00E25451"/>
    <w:rsid w:val="00E257DB"/>
    <w:rsid w:val="00E260A8"/>
    <w:rsid w:val="00E2672A"/>
    <w:rsid w:val="00E26781"/>
    <w:rsid w:val="00E270F9"/>
    <w:rsid w:val="00E272E9"/>
    <w:rsid w:val="00E27404"/>
    <w:rsid w:val="00E27C4E"/>
    <w:rsid w:val="00E303A1"/>
    <w:rsid w:val="00E308CE"/>
    <w:rsid w:val="00E31387"/>
    <w:rsid w:val="00E32222"/>
    <w:rsid w:val="00E3259A"/>
    <w:rsid w:val="00E332C0"/>
    <w:rsid w:val="00E3352A"/>
    <w:rsid w:val="00E33DBB"/>
    <w:rsid w:val="00E34202"/>
    <w:rsid w:val="00E348FB"/>
    <w:rsid w:val="00E34A6D"/>
    <w:rsid w:val="00E355F4"/>
    <w:rsid w:val="00E356AD"/>
    <w:rsid w:val="00E35732"/>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2C8"/>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47D1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E40"/>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48A"/>
    <w:rsid w:val="00E70F2A"/>
    <w:rsid w:val="00E70FD2"/>
    <w:rsid w:val="00E710B2"/>
    <w:rsid w:val="00E71502"/>
    <w:rsid w:val="00E71A07"/>
    <w:rsid w:val="00E71AEF"/>
    <w:rsid w:val="00E71C66"/>
    <w:rsid w:val="00E7219B"/>
    <w:rsid w:val="00E72AE5"/>
    <w:rsid w:val="00E72B4B"/>
    <w:rsid w:val="00E72B6C"/>
    <w:rsid w:val="00E73015"/>
    <w:rsid w:val="00E73255"/>
    <w:rsid w:val="00E73BD1"/>
    <w:rsid w:val="00E73C20"/>
    <w:rsid w:val="00E74C96"/>
    <w:rsid w:val="00E7528D"/>
    <w:rsid w:val="00E752E0"/>
    <w:rsid w:val="00E75718"/>
    <w:rsid w:val="00E75A1C"/>
    <w:rsid w:val="00E75B21"/>
    <w:rsid w:val="00E76065"/>
    <w:rsid w:val="00E7655F"/>
    <w:rsid w:val="00E76ACC"/>
    <w:rsid w:val="00E7797B"/>
    <w:rsid w:val="00E803C9"/>
    <w:rsid w:val="00E807D3"/>
    <w:rsid w:val="00E80E55"/>
    <w:rsid w:val="00E81CD8"/>
    <w:rsid w:val="00E8219D"/>
    <w:rsid w:val="00E823DA"/>
    <w:rsid w:val="00E82D32"/>
    <w:rsid w:val="00E8360C"/>
    <w:rsid w:val="00E840F4"/>
    <w:rsid w:val="00E84BCB"/>
    <w:rsid w:val="00E84DEB"/>
    <w:rsid w:val="00E850FB"/>
    <w:rsid w:val="00E85504"/>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76A"/>
    <w:rsid w:val="00E95869"/>
    <w:rsid w:val="00E95DC3"/>
    <w:rsid w:val="00E95EA9"/>
    <w:rsid w:val="00E96661"/>
    <w:rsid w:val="00E9686F"/>
    <w:rsid w:val="00E96F69"/>
    <w:rsid w:val="00E9706B"/>
    <w:rsid w:val="00E9781A"/>
    <w:rsid w:val="00E97D6D"/>
    <w:rsid w:val="00EA0654"/>
    <w:rsid w:val="00EA0BF7"/>
    <w:rsid w:val="00EA103F"/>
    <w:rsid w:val="00EA1E67"/>
    <w:rsid w:val="00EA2E65"/>
    <w:rsid w:val="00EA35A2"/>
    <w:rsid w:val="00EA35AF"/>
    <w:rsid w:val="00EA3D42"/>
    <w:rsid w:val="00EA41C8"/>
    <w:rsid w:val="00EA471A"/>
    <w:rsid w:val="00EA4819"/>
    <w:rsid w:val="00EA4A87"/>
    <w:rsid w:val="00EA5B11"/>
    <w:rsid w:val="00EA5F27"/>
    <w:rsid w:val="00EA615D"/>
    <w:rsid w:val="00EA6568"/>
    <w:rsid w:val="00EA6DC4"/>
    <w:rsid w:val="00EA7189"/>
    <w:rsid w:val="00EA75CB"/>
    <w:rsid w:val="00EB0A02"/>
    <w:rsid w:val="00EB214D"/>
    <w:rsid w:val="00EB234F"/>
    <w:rsid w:val="00EB2B04"/>
    <w:rsid w:val="00EB2C10"/>
    <w:rsid w:val="00EB2E61"/>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13"/>
    <w:rsid w:val="00EC43D1"/>
    <w:rsid w:val="00EC4F32"/>
    <w:rsid w:val="00EC5184"/>
    <w:rsid w:val="00EC6291"/>
    <w:rsid w:val="00EC64EC"/>
    <w:rsid w:val="00EC66E0"/>
    <w:rsid w:val="00EC692A"/>
    <w:rsid w:val="00EC702A"/>
    <w:rsid w:val="00EC70FA"/>
    <w:rsid w:val="00EC71A6"/>
    <w:rsid w:val="00EC7815"/>
    <w:rsid w:val="00ED08EA"/>
    <w:rsid w:val="00ED0A00"/>
    <w:rsid w:val="00ED0C26"/>
    <w:rsid w:val="00ED0E87"/>
    <w:rsid w:val="00ED21E2"/>
    <w:rsid w:val="00ED3242"/>
    <w:rsid w:val="00ED34E7"/>
    <w:rsid w:val="00ED355F"/>
    <w:rsid w:val="00ED36E9"/>
    <w:rsid w:val="00ED3979"/>
    <w:rsid w:val="00ED3ECF"/>
    <w:rsid w:val="00ED43A3"/>
    <w:rsid w:val="00ED49FB"/>
    <w:rsid w:val="00ED4BBA"/>
    <w:rsid w:val="00ED568B"/>
    <w:rsid w:val="00ED6C55"/>
    <w:rsid w:val="00ED6E19"/>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C07"/>
    <w:rsid w:val="00EE5F92"/>
    <w:rsid w:val="00EE63B2"/>
    <w:rsid w:val="00EE6907"/>
    <w:rsid w:val="00EE69C6"/>
    <w:rsid w:val="00EE6C0B"/>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2A"/>
    <w:rsid w:val="00F0078E"/>
    <w:rsid w:val="00F00B2D"/>
    <w:rsid w:val="00F00E3B"/>
    <w:rsid w:val="00F010CF"/>
    <w:rsid w:val="00F017C0"/>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70C"/>
    <w:rsid w:val="00F318A2"/>
    <w:rsid w:val="00F31BD1"/>
    <w:rsid w:val="00F31CFE"/>
    <w:rsid w:val="00F326F4"/>
    <w:rsid w:val="00F3280F"/>
    <w:rsid w:val="00F32A33"/>
    <w:rsid w:val="00F32E33"/>
    <w:rsid w:val="00F32E81"/>
    <w:rsid w:val="00F32FED"/>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1FF"/>
    <w:rsid w:val="00F41B9A"/>
    <w:rsid w:val="00F41D63"/>
    <w:rsid w:val="00F4226E"/>
    <w:rsid w:val="00F42361"/>
    <w:rsid w:val="00F424B5"/>
    <w:rsid w:val="00F42AC3"/>
    <w:rsid w:val="00F42B60"/>
    <w:rsid w:val="00F43385"/>
    <w:rsid w:val="00F43B2E"/>
    <w:rsid w:val="00F43FB9"/>
    <w:rsid w:val="00F440E9"/>
    <w:rsid w:val="00F444DC"/>
    <w:rsid w:val="00F44933"/>
    <w:rsid w:val="00F4494E"/>
    <w:rsid w:val="00F44EBF"/>
    <w:rsid w:val="00F44F9F"/>
    <w:rsid w:val="00F450BC"/>
    <w:rsid w:val="00F45508"/>
    <w:rsid w:val="00F458DF"/>
    <w:rsid w:val="00F45E51"/>
    <w:rsid w:val="00F47970"/>
    <w:rsid w:val="00F47DAD"/>
    <w:rsid w:val="00F506BA"/>
    <w:rsid w:val="00F50719"/>
    <w:rsid w:val="00F50F09"/>
    <w:rsid w:val="00F522B3"/>
    <w:rsid w:val="00F526CF"/>
    <w:rsid w:val="00F52F12"/>
    <w:rsid w:val="00F52F6C"/>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3DBF"/>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87D4B"/>
    <w:rsid w:val="00F9112B"/>
    <w:rsid w:val="00F91467"/>
    <w:rsid w:val="00F91FF8"/>
    <w:rsid w:val="00F9200B"/>
    <w:rsid w:val="00F92039"/>
    <w:rsid w:val="00F9232A"/>
    <w:rsid w:val="00F925D3"/>
    <w:rsid w:val="00F9283F"/>
    <w:rsid w:val="00F928A6"/>
    <w:rsid w:val="00F930F0"/>
    <w:rsid w:val="00F938B1"/>
    <w:rsid w:val="00F93DBA"/>
    <w:rsid w:val="00F93F9E"/>
    <w:rsid w:val="00F9462D"/>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27D9"/>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226"/>
    <w:rsid w:val="00FC2650"/>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09A"/>
    <w:rsid w:val="00FD250C"/>
    <w:rsid w:val="00FD2BD2"/>
    <w:rsid w:val="00FD32C2"/>
    <w:rsid w:val="00FD3311"/>
    <w:rsid w:val="00FD43DB"/>
    <w:rsid w:val="00FD4755"/>
    <w:rsid w:val="00FD5758"/>
    <w:rsid w:val="00FD577E"/>
    <w:rsid w:val="00FD5FBE"/>
    <w:rsid w:val="00FD6135"/>
    <w:rsid w:val="00FD672C"/>
    <w:rsid w:val="00FD6A30"/>
    <w:rsid w:val="00FD6C06"/>
    <w:rsid w:val="00FD707A"/>
    <w:rsid w:val="00FD716A"/>
    <w:rsid w:val="00FD7788"/>
    <w:rsid w:val="00FD7F6A"/>
    <w:rsid w:val="00FE00E9"/>
    <w:rsid w:val="00FE0310"/>
    <w:rsid w:val="00FE0685"/>
    <w:rsid w:val="00FE0933"/>
    <w:rsid w:val="00FE165F"/>
    <w:rsid w:val="00FE1C80"/>
    <w:rsid w:val="00FE29D2"/>
    <w:rsid w:val="00FE2A6D"/>
    <w:rsid w:val="00FE2D55"/>
    <w:rsid w:val="00FE2E9C"/>
    <w:rsid w:val="00FE360F"/>
    <w:rsid w:val="00FE3863"/>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2058C451-06F3-4F85-BF2D-5DF93088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uiPriority w:val="99"/>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uiPriority w:val="99"/>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table" w:customStyle="1" w:styleId="Tablaconcuadrcula2">
    <w:name w:val="Tabla con cuadrícula2"/>
    <w:basedOn w:val="Tablanormal"/>
    <w:next w:val="Tablaconcuadrcula"/>
    <w:uiPriority w:val="39"/>
    <w:locked/>
    <w:rsid w:val="00BE3D4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69274245">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896433241">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126501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7F86C-A78C-4377-AD4D-7DA68D87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27</Pages>
  <Words>6746</Words>
  <Characters>37109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Guillermo A. Duran Aguilar</dc:creator>
  <cp:keywords/>
  <dc:description/>
  <cp:lastModifiedBy>Rene Gomez Hernandez</cp:lastModifiedBy>
  <cp:revision>48</cp:revision>
  <cp:lastPrinted>2023-02-14T22:18:00Z</cp:lastPrinted>
  <dcterms:created xsi:type="dcterms:W3CDTF">2022-12-19T17:35:00Z</dcterms:created>
  <dcterms:modified xsi:type="dcterms:W3CDTF">2023-02-14T22:27:00Z</dcterms:modified>
</cp:coreProperties>
</file>